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200" w:after="80"/>
        <w:jc w:val="center"/>
        <w:rPr/>
      </w:pPr>
      <w:r>
        <w:rPr>
          <w:color w:val="1565C0"/>
          <w:sz w:val="22"/>
          <w:szCs w:val="22"/>
        </w:rPr>
        <w:t>Métodos de Apoio à Decisão — CC3003 — 2025/2026</w:t>
      </w:r>
    </w:p>
    <w:p>
      <w:pPr>
        <w:pStyle w:val="Normal"/>
        <w:spacing w:before="80" w:after="80"/>
        <w:jc w:val="center"/>
        <w:rPr/>
      </w:pPr>
      <w:r>
        <w:rPr>
          <w:b/>
          <w:bCs/>
          <w:color w:val="0D47A1"/>
          <w:sz w:val="40"/>
          <w:szCs w:val="40"/>
        </w:rPr>
        <w:t>Vigilância de Partições Retangulares</w:t>
      </w:r>
    </w:p>
    <w:p>
      <w:pPr>
        <w:pStyle w:val="Normal"/>
        <w:pBdr>
          <w:bottom w:val="single" w:sz="4" w:space="6" w:color="0D47A1"/>
        </w:pBdr>
        <w:spacing w:before="80" w:after="200"/>
        <w:jc w:val="center"/>
        <w:rPr/>
      </w:pPr>
      <w:r>
        <w:rPr>
          <w:color w:val="555555"/>
          <w:sz w:val="24"/>
          <w:szCs w:val="24"/>
        </w:rPr>
        <w:t>Trabalho Prático</w:t>
      </w:r>
    </w:p>
    <w:p>
      <w:pPr>
        <w:pStyle w:val="Normal"/>
        <w:spacing w:before="80" w:after="80"/>
        <w:rPr/>
      </w:pPr>
      <w:r>
        <w:rPr/>
      </w:r>
    </w:p>
    <w:tbl>
      <w:tblPr>
        <w:tblW w:w="938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999"/>
        <w:gridCol w:w="6386"/>
      </w:tblGrid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565C0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Unidade Curricular</w:t>
            </w:r>
          </w:p>
        </w:tc>
        <w:tc>
          <w:tcPr>
            <w:tcW w:w="63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565C0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Métodos de Apoio à Decisão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Prazo de Entrega</w:t>
            </w:r>
          </w:p>
        </w:tc>
        <w:tc>
          <w:tcPr>
            <w:tcW w:w="63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29 de Maio de 2026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Ferramentas</w:t>
            </w:r>
          </w:p>
        </w:tc>
        <w:tc>
          <w:tcPr>
            <w:tcW w:w="63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Python 3 · OR-Tools (CP-SAT/SCIP) · SWI-Prolog CLP(FD)</w:t>
            </w:r>
          </w:p>
        </w:tc>
      </w:tr>
    </w:tbl>
    <w:p>
      <w:pPr>
        <w:pStyle w:val="Normal"/>
        <w:spacing w:before="80" w:after="80"/>
        <w:rPr/>
      </w:pPr>
      <w:r>
        <w:rPr/>
      </w:r>
    </w:p>
    <w:p>
      <w:pPr>
        <w:pStyle w:val="Heading2"/>
        <w:spacing w:before="180" w:after="80"/>
        <w:rPr/>
      </w:pPr>
      <w:r>
        <w:rPr>
          <w:b/>
          <w:bCs/>
          <w:color w:val="1565C0"/>
          <w:sz w:val="24"/>
          <w:szCs w:val="24"/>
        </w:rPr>
        <w:t>Resumo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Este relatório descreve a resolução do problema de Vigilância de Partições Retangulares: colocar o menor número possível de guardas nos vértices de uma partição rectangular de modo a que cada retângulo de um subconjunto requerido Π' ⊆ Π seja vigiado. São avaliadas quatro famílias de métodos — greedy, programação inteira e por restrições (MAC/AC-3 manual, OR-Tools CP-SAT e SWI-Prolog CLP(FD)), programação dinâmica e extensões (coloração de guardas e alcance alargado D). Os resultados experimentais (10 runs de benchmark) mostram que o Greedy Aleatório×30 atinge o óptimo na maioria das instâncias (gap=0.00 nas instâncias principais; gap=+0.12–0.20 em instâncias grandes/adversariais). O CP-SAT é o solver exacto mais equilibrado (13–131ms); o MAC+AC-3 é correcto mas lento (42–2370ms), e a sua média em inst_1d (5.0 guardas) não é directamente comparável com o CP-SAT (6.0) por razões de timeout.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4" w:space="4" w:color="0D47A1"/>
        </w:pBdr>
        <w:spacing w:before="240" w:after="120"/>
        <w:rPr/>
      </w:pPr>
      <w:r>
        <w:rPr>
          <w:b/>
          <w:bCs/>
          <w:color w:val="0D47A1"/>
          <w:sz w:val="28"/>
          <w:szCs w:val="28"/>
        </w:rPr>
        <w:t>1. Descrição do Problema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Dada uma partição Π de um rectângulo em sub-retângulos, um guarda colocado no vértice v vigia todos os retângulos que têm v como canto. O objectivo é encontrar um conjunto de vértices de cardinalidade mínima que garanta a cobertura de todos os retângulos do subconjunto requerido Π' ⊆ Π. O problema admite dois modos: cobertura total (Π' = Π) e cobertura parcial (Π' ⊂ Π).</w:t>
      </w:r>
    </w:p>
    <w:p>
      <w:pPr>
        <w:pStyle w:val="Heading2"/>
        <w:spacing w:before="180" w:after="80"/>
        <w:rPr/>
      </w:pPr>
      <w:r>
        <w:rPr>
          <w:b/>
          <w:bCs/>
          <w:color w:val="1565C0"/>
          <w:sz w:val="24"/>
          <w:szCs w:val="24"/>
        </w:rPr>
        <w:t>1.1 Representação — Grafo de Incidência Bipartido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O problema é representado por um grafo bipartido G = (V ∪ R, E), onde V é o conjunto de vértices da partição e R o conjunto de retângulos; existe aresta (v, r) sse v é canto de r. As estruturas centrais são vertex_to_rects[v] e rect_to_verts[r], comuns a todos os módulos.</w:t>
      </w:r>
    </w:p>
    <w:p>
      <w:pPr>
        <w:pStyle w:val="Heading2"/>
        <w:spacing w:before="180" w:after="80"/>
        <w:rPr/>
      </w:pPr>
      <w:r>
        <w:rPr>
          <w:b/>
          <w:bCs/>
          <w:color w:val="1565C0"/>
          <w:sz w:val="24"/>
          <w:szCs w:val="24"/>
        </w:rPr>
        <w:t>1.2 Instâncias de Teste</w:t>
      </w:r>
    </w:p>
    <w:tbl>
      <w:tblPr>
        <w:tblW w:w="938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00"/>
        <w:gridCol w:w="1500"/>
        <w:gridCol w:w="2200"/>
        <w:gridCol w:w="2985"/>
      </w:tblGrid>
      <w:tr>
        <w:trPr/>
        <w:tc>
          <w:tcPr>
            <w:tcW w:w="2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Ficheiro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Instâncias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Rects (min–máx)</w:t>
            </w:r>
          </w:p>
        </w:tc>
        <w:tc>
          <w:tcPr>
            <w:tcW w:w="29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Tipo de Partição</w:t>
            </w:r>
          </w:p>
        </w:tc>
      </w:tr>
      <w:tr>
        <w:trPr/>
        <w:tc>
          <w:tcPr>
            <w:tcW w:w="2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inst_grid.txt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6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4–20</w:t>
            </w:r>
          </w:p>
        </w:tc>
        <w:tc>
          <w:tcPr>
            <w:tcW w:w="29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Grelhas regulares n×m</w:t>
            </w:r>
          </w:p>
        </w:tc>
      </w:tr>
      <w:tr>
        <w:trPr/>
        <w:tc>
          <w:tcPr>
            <w:tcW w:w="2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inst_small.txt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10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6–10</w:t>
            </w:r>
          </w:p>
        </w:tc>
        <w:tc>
          <w:tcPr>
            <w:tcW w:w="29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Irregulares pequenas</w:t>
            </w:r>
          </w:p>
        </w:tc>
      </w:tr>
      <w:tr>
        <w:trPr/>
        <w:tc>
          <w:tcPr>
            <w:tcW w:w="2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inst_1d.txt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10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2–9</w:t>
            </w:r>
          </w:p>
        </w:tc>
        <w:tc>
          <w:tcPr>
            <w:tcW w:w="29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Partições lineares (1D)</w:t>
            </w:r>
          </w:p>
        </w:tc>
      </w:tr>
      <w:tr>
        <w:trPr/>
        <w:tc>
          <w:tcPr>
            <w:tcW w:w="2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inst_medium.txt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10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10–24</w:t>
            </w:r>
          </w:p>
        </w:tc>
        <w:tc>
          <w:tcPr>
            <w:tcW w:w="29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Irregulares médias</w:t>
            </w:r>
          </w:p>
        </w:tc>
      </w:tr>
      <w:tr>
        <w:trPr/>
        <w:tc>
          <w:tcPr>
            <w:tcW w:w="2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inst_large.txt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5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28–63</w:t>
            </w:r>
          </w:p>
        </w:tc>
        <w:tc>
          <w:tcPr>
            <w:tcW w:w="29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Irregulares grandes</w:t>
            </w:r>
          </w:p>
        </w:tc>
      </w:tr>
      <w:tr>
        <w:trPr/>
        <w:tc>
          <w:tcPr>
            <w:tcW w:w="2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inst_adversarial.txt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8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8–20</w:t>
            </w:r>
          </w:p>
        </w:tc>
        <w:tc>
          <w:tcPr>
            <w:tcW w:w="29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Instâncias adversariais</w:t>
            </w:r>
          </w:p>
        </w:tc>
      </w:tr>
      <w:tr>
        <w:trPr/>
        <w:tc>
          <w:tcPr>
            <w:tcW w:w="2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inst_original.txt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4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7</w:t>
            </w:r>
          </w:p>
        </w:tc>
        <w:tc>
          <w:tcPr>
            <w:tcW w:w="29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Instância das aulas práticas</w:t>
            </w:r>
          </w:p>
        </w:tc>
      </w:tr>
    </w:tbl>
    <w:p>
      <w:pPr>
        <w:pStyle w:val="Normal"/>
        <w:spacing w:before="40" w:after="120"/>
        <w:jc w:val="center"/>
        <w:rPr/>
      </w:pPr>
      <w:r>
        <w:rPr>
          <w:i/>
          <w:iCs/>
          <w:color w:val="555555"/>
          <w:sz w:val="17"/>
          <w:szCs w:val="17"/>
        </w:rPr>
        <w:t>Tabela 1 — Conjuntos de instâncias utilizados.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40"/>
        <w:jc w:val="center"/>
        <w:rPr/>
      </w:pPr>
      <w:r>
        <w:rPr/>
        <w:drawing>
          <wp:inline distT="0" distB="0" distL="0" distR="0">
            <wp:extent cx="635" cy="63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" cy="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  <w:rPr/>
      </w:pPr>
      <w:r>
        <w:rPr>
          <w:i/>
          <w:iCs/>
          <w:color w:val="555555"/>
          <w:sz w:val="17"/>
          <w:szCs w:val="17"/>
        </w:rPr>
        <w:t>Figura 1 — Primeiras 4 instâncias de inst_1d.txt: partições lineares com 2 a 5 retângulos.</w:t>
      </w:r>
    </w:p>
    <w:p>
      <w:pPr>
        <w:pStyle w:val="Normal"/>
        <w:spacing w:before="80" w:after="40"/>
        <w:jc w:val="center"/>
        <w:rPr/>
      </w:pPr>
      <w:r>
        <w:rPr/>
        <w:drawing>
          <wp:inline distT="0" distB="0" distL="0" distR="0">
            <wp:extent cx="635" cy="63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" cy="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  <w:rPr/>
      </w:pPr>
      <w:r>
        <w:rPr>
          <w:i/>
          <w:iCs/>
          <w:color w:val="555555"/>
          <w:sz w:val="17"/>
          <w:szCs w:val="17"/>
        </w:rPr>
        <w:t>Figura 2 — Instância original das aulas (7 retângulos). Solução óptima CP-SAT: 3 guardas (G).</w:t>
      </w:r>
    </w:p>
    <w:tbl>
      <w:tblPr>
        <w:tblW w:w="938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499"/>
        <w:gridCol w:w="1500"/>
        <w:gridCol w:w="2000"/>
        <w:gridCol w:w="4386"/>
      </w:tblGrid>
      <w:tr>
        <w:trPr/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Inst.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Rects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Vértices</w:t>
            </w:r>
          </w:p>
        </w:tc>
        <w:tc>
          <w:tcPr>
            <w:tcW w:w="43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Solução CP-SAT</w:t>
            </w:r>
          </w:p>
        </w:tc>
      </w:tr>
      <w:tr>
        <w:trPr/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1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7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12</w:t>
            </w:r>
          </w:p>
        </w:tc>
        <w:tc>
          <w:tcPr>
            <w:tcW w:w="43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3 guardas</w:t>
            </w:r>
          </w:p>
        </w:tc>
      </w:tr>
      <w:tr>
        <w:trPr/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2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7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12</w:t>
            </w:r>
          </w:p>
        </w:tc>
        <w:tc>
          <w:tcPr>
            <w:tcW w:w="43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3 guardas</w:t>
            </w:r>
          </w:p>
        </w:tc>
      </w:tr>
      <w:tr>
        <w:trPr/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3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7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13</w:t>
            </w:r>
          </w:p>
        </w:tc>
        <w:tc>
          <w:tcPr>
            <w:tcW w:w="43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3 guardas</w:t>
            </w:r>
          </w:p>
        </w:tc>
      </w:tr>
      <w:tr>
        <w:trPr/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4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7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11</w:t>
            </w:r>
          </w:p>
        </w:tc>
        <w:tc>
          <w:tcPr>
            <w:tcW w:w="43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3 guardas</w:t>
            </w:r>
          </w:p>
        </w:tc>
      </w:tr>
    </w:tbl>
    <w:p>
      <w:pPr>
        <w:pStyle w:val="Normal"/>
        <w:spacing w:before="40" w:after="120"/>
        <w:jc w:val="center"/>
        <w:rPr/>
      </w:pPr>
      <w:r>
        <w:rPr>
          <w:i/>
          <w:iCs/>
          <w:color w:val="555555"/>
          <w:sz w:val="17"/>
          <w:szCs w:val="17"/>
        </w:rPr>
        <w:t>Tabela 2 — inst_original.txt.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4" w:space="4" w:color="0D47A1"/>
        </w:pBdr>
        <w:spacing w:before="240" w:after="120"/>
        <w:rPr/>
      </w:pPr>
      <w:r>
        <w:rPr>
          <w:b/>
          <w:bCs/>
          <w:color w:val="0D47A1"/>
          <w:sz w:val="28"/>
          <w:szCs w:val="28"/>
        </w:rPr>
        <w:t>2. Modelo Matemático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O problema pertence à família Set Cover (NP-difícil). Cada retângulo tem exactamente 4 vértices, pelo que cada restrição de cobertura é uma desigualdade de aridade 4. O greedy de cobertura máxima tem garantia teórica H(4) ≈ ln4+1 ≈ 2.08; na prática o gap observado é muito menor.</w:t>
      </w:r>
    </w:p>
    <w:tbl>
      <w:tblPr>
        <w:tblW w:w="938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7385"/>
      </w:tblGrid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565C0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73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565C0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Formulação ILP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Variáveis</w:t>
            </w:r>
          </w:p>
        </w:tc>
        <w:tc>
          <w:tcPr>
            <w:tcW w:w="73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x[v] ∈ {0,1}  para cada vértice v ∈ V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Minimizar</w:t>
            </w:r>
          </w:p>
        </w:tc>
        <w:tc>
          <w:tcPr>
            <w:tcW w:w="73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Σ x[v]  (v ∈ V)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Sujeito a</w:t>
            </w:r>
          </w:p>
        </w:tc>
        <w:tc>
          <w:tcPr>
            <w:tcW w:w="73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Σ x[v] ≥ 1  ∀ r ∈ Π',  onde a soma é sobre os 4 cantos de 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73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x[v] ∈ {0,1}  (integralidade)</w:t>
            </w:r>
          </w:p>
        </w:tc>
      </w:tr>
    </w:tbl>
    <w:p>
      <w:pPr>
        <w:pStyle w:val="Normal"/>
        <w:spacing w:before="40" w:after="120"/>
        <w:jc w:val="center"/>
        <w:rPr/>
      </w:pPr>
      <w:r>
        <w:rPr>
          <w:i/>
          <w:iCs/>
          <w:color w:val="555555"/>
          <w:sz w:val="17"/>
          <w:szCs w:val="17"/>
        </w:rPr>
        <w:t>Formulação ILP exacta.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1"/>
        <w:pBdr>
          <w:bottom w:val="single" w:sz="4" w:space="4" w:color="0D47A1"/>
        </w:pBdr>
        <w:spacing w:before="240" w:after="120"/>
        <w:rPr/>
      </w:pPr>
      <w:r>
        <w:rPr>
          <w:b/>
          <w:bCs/>
          <w:color w:val="0D47A1"/>
          <w:sz w:val="28"/>
          <w:szCs w:val="28"/>
        </w:rPr>
        <w:t>3. Estratégias Greedy (greedy.py)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Foram implementadas três estratégias greedy, todas suportando cobertura total e parcial via o parâmetro target_rects.</w:t>
      </w:r>
    </w:p>
    <w:p>
      <w:pPr>
        <w:pStyle w:val="Heading2"/>
        <w:spacing w:before="180" w:after="80"/>
        <w:rPr/>
      </w:pPr>
      <w:r>
        <w:rPr>
          <w:b/>
          <w:bCs/>
          <w:color w:val="1565C0"/>
          <w:sz w:val="24"/>
          <w:szCs w:val="24"/>
        </w:rPr>
        <w:t>3.1 Greedy de Cobertura Máxima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A cada iteração selecciona o vértice candidato que cobre o maior número de retângulos ainda não cobertos. Complexidade: O(n · |candidates|) por iteração.</w:t>
      </w:r>
    </w:p>
    <w:p>
      <w:pPr>
        <w:pStyle w:val="Normal"/>
        <w:shd w:val="clear" w:fill="F5F5F5"/>
        <w:spacing w:before="60" w:after="60"/>
        <w:ind w:left="360" w:hanging="0"/>
        <w:rPr/>
      </w:pPr>
      <w:r>
        <w:rPr>
          <w:rFonts w:eastAsia="Courier New" w:cs="Courier New" w:ascii="Courier New" w:hAnsi="Courier New"/>
          <w:sz w:val="16"/>
          <w:szCs w:val="16"/>
        </w:rPr>
        <w:t>uncovered ← Π'  enquanto uncovered ≠ ∅:</w:t>
      </w:r>
    </w:p>
    <w:p>
      <w:pPr>
        <w:pStyle w:val="Normal"/>
        <w:shd w:val="clear" w:fill="F5F5F5"/>
        <w:spacing w:before="60" w:after="60"/>
        <w:ind w:left="360" w:hanging="0"/>
        <w:rPr/>
      </w:pPr>
      <w:r>
        <w:rPr>
          <w:rFonts w:eastAsia="Courier New" w:cs="Courier New" w:ascii="Courier New" w:hAnsi="Courier New"/>
          <w:sz w:val="16"/>
          <w:szCs w:val="16"/>
        </w:rPr>
        <w:t xml:space="preserve">    </w:t>
      </w:r>
      <w:r>
        <w:rPr>
          <w:rFonts w:eastAsia="Courier New" w:cs="Courier New" w:ascii="Courier New" w:hAnsi="Courier New"/>
          <w:sz w:val="16"/>
          <w:szCs w:val="16"/>
        </w:rPr>
        <w:t>v* ← argmax { |N(v) ∩ uncovered| }</w:t>
      </w:r>
    </w:p>
    <w:p>
      <w:pPr>
        <w:pStyle w:val="Normal"/>
        <w:shd w:val="clear" w:fill="F5F5F5"/>
        <w:spacing w:before="60" w:after="60"/>
        <w:ind w:left="360" w:hanging="0"/>
        <w:rPr/>
      </w:pPr>
      <w:r>
        <w:rPr>
          <w:rFonts w:eastAsia="Courier New" w:cs="Courier New" w:ascii="Courier New" w:hAnsi="Courier New"/>
          <w:sz w:val="16"/>
          <w:szCs w:val="16"/>
        </w:rPr>
        <w:t xml:space="preserve">    </w:t>
      </w:r>
      <w:r>
        <w:rPr>
          <w:rFonts w:eastAsia="Courier New" w:cs="Courier New" w:ascii="Courier New" w:hAnsi="Courier New"/>
          <w:sz w:val="16"/>
          <w:szCs w:val="16"/>
        </w:rPr>
        <w:t>guards.add(v*)  ;  uncovered -= N(v*)</w:t>
      </w:r>
    </w:p>
    <w:p>
      <w:pPr>
        <w:pStyle w:val="Heading2"/>
        <w:spacing w:before="180" w:after="80"/>
        <w:rPr/>
      </w:pPr>
      <w:r>
        <w:rPr>
          <w:b/>
          <w:bCs/>
          <w:color w:val="1565C0"/>
          <w:sz w:val="24"/>
          <w:szCs w:val="24"/>
        </w:rPr>
        <w:t>3.2 Greedy por Grau Estático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Ordena vértices por grau total uma única vez — O(|V| log|V|). Percorre a lista estaticamente sem actualizar prioridades. É mais rápido mas afasta-se do óptimo especialmente em instâncias lineares (gap +4.60 em inst_1d) e grandes (gap +18.60 em inst_large), tornando-o inadequado para uso prático.</w:t>
      </w:r>
    </w:p>
    <w:p>
      <w:pPr>
        <w:pStyle w:val="Heading2"/>
        <w:spacing w:before="180" w:after="80"/>
        <w:rPr/>
      </w:pPr>
      <w:r>
        <w:rPr>
          <w:b/>
          <w:bCs/>
          <w:color w:val="1565C0"/>
          <w:sz w:val="24"/>
          <w:szCs w:val="24"/>
        </w:rPr>
        <w:t>3.3 Greedy Aleatório com 30 Reinícios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Executa 30 vezes o greedy de cobertura máxima com desempate aleatório. Devolve a melhor solução. ATENÇÃO: atingiu gap=0.00 nas instâncias principais (small, 1d, grid, original) mas não é sempre óptimo — observou-se gap=+0.20 em inst_large e gap=+0.12 em inst_adversarial.</w:t>
      </w:r>
    </w:p>
    <w:p>
      <w:pPr>
        <w:pStyle w:val="Normal"/>
        <w:spacing w:before="80" w:after="80"/>
        <w:rPr/>
      </w:pPr>
      <w:r>
        <w:rPr/>
      </w:r>
    </w:p>
    <w:tbl>
      <w:tblPr>
        <w:tblW w:w="938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800"/>
        <w:gridCol w:w="900"/>
        <w:gridCol w:w="899"/>
        <w:gridCol w:w="900"/>
        <w:gridCol w:w="900"/>
        <w:gridCol w:w="1001"/>
        <w:gridCol w:w="900"/>
        <w:gridCol w:w="1000"/>
        <w:gridCol w:w="1085"/>
      </w:tblGrid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Estratégia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Gap small</w:t>
            </w:r>
          </w:p>
        </w:tc>
        <w:tc>
          <w:tcPr>
            <w:tcW w:w="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Gap 1d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Gap grid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Gap orig.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Gap medium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Gap large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Gap advers.</w:t>
            </w:r>
          </w:p>
        </w:tc>
        <w:tc>
          <w:tcPr>
            <w:tcW w:w="10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Tempo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G. MaxCov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+0.40</w:t>
            </w:r>
          </w:p>
        </w:tc>
        <w:tc>
          <w:tcPr>
            <w:tcW w:w="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+0.60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+0.75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+0.30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+1.40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+0.38</w:t>
            </w:r>
          </w:p>
        </w:tc>
        <w:tc>
          <w:tcPr>
            <w:tcW w:w="10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&lt;1ms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G. Grau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+0.60</w:t>
            </w:r>
          </w:p>
        </w:tc>
        <w:tc>
          <w:tcPr>
            <w:tcW w:w="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+4.60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+2.17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+1.75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+3.30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+18.60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+5.25</w:t>
            </w:r>
          </w:p>
        </w:tc>
        <w:tc>
          <w:tcPr>
            <w:tcW w:w="10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&lt;1ms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G. Aleat.×30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+0.20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+0.12</w:t>
            </w:r>
          </w:p>
        </w:tc>
        <w:tc>
          <w:tcPr>
            <w:tcW w:w="10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1–15ms</w:t>
            </w:r>
          </w:p>
        </w:tc>
      </w:tr>
    </w:tbl>
    <w:p>
      <w:pPr>
        <w:pStyle w:val="Normal"/>
        <w:spacing w:before="40" w:after="120"/>
        <w:jc w:val="center"/>
        <w:rPr/>
      </w:pPr>
      <w:r>
        <w:rPr>
          <w:i/>
          <w:iCs/>
          <w:color w:val="555555"/>
          <w:sz w:val="17"/>
          <w:szCs w:val="17"/>
        </w:rPr>
        <w:t>Tabela 3 — Gap médio real (todas as instâncias). G. Aleat.×30 não é óptimo em inst_large e inst_adversarial.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4" w:space="4" w:color="0D47A1"/>
        </w:pBdr>
        <w:spacing w:before="240" w:after="120"/>
        <w:rPr/>
      </w:pPr>
      <w:r>
        <w:rPr>
          <w:b/>
          <w:bCs/>
          <w:color w:val="0D47A1"/>
          <w:sz w:val="28"/>
          <w:szCs w:val="28"/>
        </w:rPr>
        <w:t>4. Programação Inteira e por Restrições</w:t>
      </w:r>
    </w:p>
    <w:p>
      <w:pPr>
        <w:pStyle w:val="Heading2"/>
        <w:spacing w:before="180" w:after="80"/>
        <w:rPr/>
      </w:pPr>
      <w:r>
        <w:rPr>
          <w:b/>
          <w:bCs/>
          <w:color w:val="1565C0"/>
          <w:sz w:val="24"/>
          <w:szCs w:val="24"/>
        </w:rPr>
        <w:t>4.1 ILP com OR-Tools / SCIP (Ortools.py)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Modelo ILP exacto via pywraplp / SCIP: para cada r ∈ Π' é criada a restrição sum(x[v] for v in corners(r)) &gt;= 1. A função objectivo minimiza sum(x). Gera também ficheiros .pl para o SWI-Prolog via export_to_prolog().</w:t>
      </w:r>
    </w:p>
    <w:p>
      <w:pPr>
        <w:pStyle w:val="Heading2"/>
        <w:spacing w:before="180" w:after="80"/>
        <w:rPr/>
      </w:pPr>
      <w:r>
        <w:rPr>
          <w:b/>
          <w:bCs/>
          <w:color w:val="1565C0"/>
          <w:sz w:val="24"/>
          <w:szCs w:val="24"/>
        </w:rPr>
        <w:t>4.2 CP-SAT com OR-Tools (Ortools.py)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Modelo equivalente com cp_model.BoolVar e AddBoolOr. O CP-SAT combina propagação de restrições com busca VSIDS. É o solver exacto mais equilibrado: 13–131ms consoante a instância. SCIP e CP-SAT concordam sempre no número de guardas. O overhead de inicialização é responsável pelo tempo de ~131ms em inst_small — as instâncias são pequenas mas o CP-SAT inicializa o motor interno em cada chamada.</w:t>
      </w:r>
    </w:p>
    <w:p>
      <w:pPr>
        <w:pStyle w:val="Heading2"/>
        <w:spacing w:before="180" w:after="80"/>
        <w:rPr/>
      </w:pPr>
      <w:r>
        <w:rPr>
          <w:b/>
          <w:bCs/>
          <w:color w:val="1565C0"/>
          <w:sz w:val="24"/>
          <w:szCs w:val="24"/>
        </w:rPr>
        <w:t>4.3 MAC + AC-3 Manual (mac_ac3.py)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Implementação manual de backtracking com MAC (Maintaining Arc Consistency), sem uso de qualquer módulo de programação por restrições. As restrições são n-árias (aridade 4): a propagação detecta que, se todos os cantos menos um de um retângulo estão fixados a 0, o último tem de ser 1 (forced-one propagation).</w:t>
      </w:r>
    </w:p>
    <w:tbl>
      <w:tblPr>
        <w:tblW w:w="938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6885"/>
      </w:tblGrid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  <w:tc>
          <w:tcPr>
            <w:tcW w:w="68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Função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Classe CSP</w:t>
            </w:r>
          </w:p>
        </w:tc>
        <w:tc>
          <w:tcPr>
            <w:tcW w:w="68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Variáveis x[v]∈{0,1}; restrições n-árias; mapeamento var↔restrição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ac3()</w:t>
            </w:r>
          </w:p>
        </w:tc>
        <w:tc>
          <w:tcPr>
            <w:tcW w:w="68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Fila de restrições; forced-one propagation; retorna False se wipe-out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select_variable_mrv()</w:t>
            </w:r>
          </w:p>
        </w:tc>
        <w:tc>
          <w:tcPr>
            <w:tcW w:w="68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MRV (menor domínio) com desempate por grau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Classe Solver</w:t>
            </w:r>
          </w:p>
        </w:tc>
        <w:tc>
          <w:tcPr>
            <w:tcW w:w="68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Branch-and-bound; val=0 primeiro; poda por lower bound LP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_lower_bound()</w:t>
            </w:r>
          </w:p>
        </w:tc>
        <w:tc>
          <w:tcPr>
            <w:tcW w:w="68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ceil(|rests. insatisfeitas| / cobertura_máx)</w:t>
            </w:r>
          </w:p>
        </w:tc>
      </w:tr>
    </w:tbl>
    <w:p>
      <w:pPr>
        <w:pStyle w:val="Normal"/>
        <w:spacing w:before="40" w:after="120"/>
        <w:jc w:val="center"/>
        <w:rPr/>
      </w:pPr>
      <w:r>
        <w:rPr>
          <w:i/>
          <w:iCs/>
          <w:color w:val="555555"/>
          <w:sz w:val="17"/>
          <w:szCs w:val="17"/>
        </w:rPr>
        <w:t>Tabela 4 — Componentes do solver MAC+AC-3.</w:t>
      </w:r>
    </w:p>
    <w:p>
      <w:pPr>
        <w:pStyle w:val="Normal"/>
        <w:spacing w:before="80" w:after="80"/>
        <w:rPr/>
      </w:pPr>
      <w:r>
        <w:rPr/>
      </w:r>
    </w:p>
    <w:tbl>
      <w:tblPr>
        <w:tblW w:w="9386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86"/>
      </w:tblGrid>
      <w:tr>
        <w:trPr/>
        <w:tc>
          <w:tcPr>
            <w:tcW w:w="9386" w:type="dxa"/>
            <w:tcBorders>
              <w:top w:val="single" w:sz="2" w:space="0" w:color="E65100"/>
              <w:left w:val="single" w:sz="2" w:space="0" w:color="E65100"/>
              <w:bottom w:val="single" w:sz="2" w:space="0" w:color="E65100"/>
              <w:right w:val="single" w:sz="2" w:space="0" w:color="E65100"/>
            </w:tcBorders>
            <w:shd w:fill="FFF8E1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color w:val="BF360C"/>
                <w:sz w:val="19"/>
                <w:szCs w:val="19"/>
              </w:rPr>
              <w:t>NOTA sobre MAC+AC-3 em inst_1d: o MAC reporta 5.0 guardas (vs CP-SAT 6.0) com gap=0.00. Isto deve-se ao facto de o MAC só ter terminado nas instâncias mais simples desse conjunto antes do timeout — a média 5.0 não representa o conjunto completo. O CP-SAT resolve todas as instâncias e obtém o óptimo real de 6.0. O gap do MAC em inst_1d não é comparável directamente.</w:t>
            </w:r>
          </w:p>
        </w:tc>
      </w:tr>
    </w:tbl>
    <w:p>
      <w:pPr>
        <w:pStyle w:val="Normal"/>
        <w:spacing w:before="80" w:after="80"/>
        <w:rPr/>
      </w:pPr>
      <w:r>
        <w:rPr/>
      </w:r>
    </w:p>
    <w:tbl>
      <w:tblPr>
        <w:tblW w:w="938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1199"/>
        <w:gridCol w:w="1201"/>
        <w:gridCol w:w="1599"/>
        <w:gridCol w:w="3387"/>
      </w:tblGrid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Ficheiro</w:t>
            </w:r>
          </w:p>
        </w:tc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Guardas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Gap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Tempo médio</w:t>
            </w:r>
          </w:p>
        </w:tc>
        <w:tc>
          <w:tcPr>
            <w:tcW w:w="33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Nota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inst_small</w:t>
            </w:r>
          </w:p>
        </w:tc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2.6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~66ms</w:t>
            </w:r>
          </w:p>
        </w:tc>
        <w:tc>
          <w:tcPr>
            <w:tcW w:w="33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Todas as inst. terminaram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inst_1d</w:t>
            </w:r>
          </w:p>
        </w:tc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5.0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—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~2370ms</w:t>
            </w:r>
          </w:p>
        </w:tc>
        <w:tc>
          <w:tcPr>
            <w:tcW w:w="33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Apenas inst. fáceis (timeout nas difíceis)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inst_grid</w:t>
            </w:r>
          </w:p>
        </w:tc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3.5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~209ms</w:t>
            </w:r>
          </w:p>
        </w:tc>
        <w:tc>
          <w:tcPr>
            <w:tcW w:w="33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Todas as inst. terminaram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inst_original</w:t>
            </w:r>
          </w:p>
        </w:tc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3.0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~58ms</w:t>
            </w:r>
          </w:p>
        </w:tc>
        <w:tc>
          <w:tcPr>
            <w:tcW w:w="33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Todas as inst. terminaram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inst_medium</w:t>
            </w:r>
          </w:p>
        </w:tc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4.6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~42ms</w:t>
            </w:r>
          </w:p>
        </w:tc>
        <w:tc>
          <w:tcPr>
            <w:tcW w:w="33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Run parcial (1 run disponível)</w:t>
            </w:r>
          </w:p>
        </w:tc>
      </w:tr>
    </w:tbl>
    <w:p>
      <w:pPr>
        <w:pStyle w:val="Normal"/>
        <w:spacing w:before="40" w:after="120"/>
        <w:jc w:val="center"/>
        <w:rPr/>
      </w:pPr>
      <w:r>
        <w:rPr>
          <w:i/>
          <w:iCs/>
          <w:color w:val="555555"/>
          <w:sz w:val="17"/>
          <w:szCs w:val="17"/>
        </w:rPr>
        <w:t>Tabela 5 — Resultados reais do MAC+AC-3.</w:t>
      </w:r>
    </w:p>
    <w:p>
      <w:pPr>
        <w:pStyle w:val="Heading2"/>
        <w:spacing w:before="180" w:after="80"/>
        <w:rPr/>
      </w:pPr>
      <w:r>
        <w:rPr>
          <w:b/>
          <w:bCs/>
          <w:color w:val="1565C0"/>
          <w:sz w:val="24"/>
          <w:szCs w:val="24"/>
        </w:rPr>
        <w:t>4.4 SWI-Prolog com CLP(FD) (guards.pl)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Usa a biblioteca clpfd. O predicado solve/4 instancia Guards (0/1 por vértice) e minimiza Cost via labeling([min(Cost), ff, bisect]). A cobertura usa sum(CornerVars, #&gt;=, 1). O solve_partial/5 aceita lista de índices alvo para cobertura parcial.</w:t>
      </w:r>
    </w:p>
    <w:p>
      <w:pPr>
        <w:pStyle w:val="Normal"/>
        <w:shd w:val="clear" w:fill="F5F5F5"/>
        <w:spacing w:before="60" w:after="60"/>
        <w:ind w:left="360" w:hanging="0"/>
        <w:rPr/>
      </w:pPr>
      <w:r>
        <w:rPr>
          <w:rFonts w:eastAsia="Courier New" w:cs="Courier New" w:ascii="Courier New" w:hAnsi="Courier New"/>
          <w:sz w:val="16"/>
          <w:szCs w:val="16"/>
        </w:rPr>
        <w:t>:- use_module(library(clpfd)).</w:t>
      </w:r>
    </w:p>
    <w:p>
      <w:pPr>
        <w:pStyle w:val="Normal"/>
        <w:shd w:val="clear" w:fill="F5F5F5"/>
        <w:spacing w:before="60" w:after="60"/>
        <w:ind w:left="360" w:hanging="0"/>
        <w:rPr/>
      </w:pPr>
      <w:r>
        <w:rPr>
          <w:rFonts w:eastAsia="Courier New" w:cs="Courier New" w:ascii="Courier New" w:hAnsi="Courier New"/>
          <w:sz w:val="16"/>
          <w:szCs w:val="16"/>
        </w:rPr>
        <w:t>solve(Rects, NV, Guards, Cost) :-</w:t>
      </w:r>
    </w:p>
    <w:p>
      <w:pPr>
        <w:pStyle w:val="Normal"/>
        <w:shd w:val="clear" w:fill="F5F5F5"/>
        <w:spacing w:before="60" w:after="60"/>
        <w:ind w:left="360" w:hanging="0"/>
        <w:rPr/>
      </w:pPr>
      <w:r>
        <w:rPr>
          <w:rFonts w:eastAsia="Courier New" w:cs="Courier New" w:ascii="Courier New" w:hAnsi="Courier New"/>
          <w:sz w:val="16"/>
          <w:szCs w:val="16"/>
        </w:rPr>
        <w:t xml:space="preserve">  </w:t>
      </w:r>
      <w:r>
        <w:rPr>
          <w:rFonts w:eastAsia="Courier New" w:cs="Courier New" w:ascii="Courier New" w:hAnsi="Courier New"/>
          <w:sz w:val="16"/>
          <w:szCs w:val="16"/>
        </w:rPr>
        <w:t>length(Guards, NV), Guards ins 0..1,</w:t>
      </w:r>
    </w:p>
    <w:p>
      <w:pPr>
        <w:pStyle w:val="Normal"/>
        <w:shd w:val="clear" w:fill="F5F5F5"/>
        <w:spacing w:before="60" w:after="60"/>
        <w:ind w:left="360" w:hanging="0"/>
        <w:rPr/>
      </w:pPr>
      <w:r>
        <w:rPr>
          <w:rFonts w:eastAsia="Courier New" w:cs="Courier New" w:ascii="Courier New" w:hAnsi="Courier New"/>
          <w:sz w:val="16"/>
          <w:szCs w:val="16"/>
        </w:rPr>
        <w:t xml:space="preserve">  </w:t>
      </w:r>
      <w:r>
        <w:rPr>
          <w:rFonts w:eastAsia="Courier New" w:cs="Courier New" w:ascii="Courier New" w:hAnsi="Courier New"/>
          <w:sz w:val="16"/>
          <w:szCs w:val="16"/>
        </w:rPr>
        <w:t>maplist(coverage_constraint(Guards), Rects),</w:t>
      </w:r>
    </w:p>
    <w:p>
      <w:pPr>
        <w:pStyle w:val="Normal"/>
        <w:shd w:val="clear" w:fill="F5F5F5"/>
        <w:spacing w:before="60" w:after="60"/>
        <w:ind w:left="360" w:hanging="0"/>
        <w:rPr/>
      </w:pPr>
      <w:r>
        <w:rPr>
          <w:rFonts w:eastAsia="Courier New" w:cs="Courier New" w:ascii="Courier New" w:hAnsi="Courier New"/>
          <w:sz w:val="16"/>
          <w:szCs w:val="16"/>
        </w:rPr>
        <w:t xml:space="preserve">  </w:t>
      </w:r>
      <w:r>
        <w:rPr>
          <w:rFonts w:eastAsia="Courier New" w:cs="Courier New" w:ascii="Courier New" w:hAnsi="Courier New"/>
          <w:sz w:val="16"/>
          <w:szCs w:val="16"/>
        </w:rPr>
        <w:t>sum(Guards, #=, Cost),</w:t>
      </w:r>
    </w:p>
    <w:p>
      <w:pPr>
        <w:pStyle w:val="Normal"/>
        <w:shd w:val="clear" w:fill="F5F5F5"/>
        <w:spacing w:before="60" w:after="60"/>
        <w:ind w:left="360" w:hanging="0"/>
        <w:rPr/>
      </w:pPr>
      <w:r>
        <w:rPr>
          <w:rFonts w:eastAsia="Courier New" w:cs="Courier New" w:ascii="Courier New" w:hAnsi="Courier New"/>
          <w:sz w:val="16"/>
          <w:szCs w:val="16"/>
        </w:rPr>
        <w:t xml:space="preserve">  </w:t>
      </w:r>
      <w:r>
        <w:rPr>
          <w:rFonts w:eastAsia="Courier New" w:cs="Courier New" w:ascii="Courier New" w:hAnsi="Courier New"/>
          <w:sz w:val="16"/>
          <w:szCs w:val="16"/>
        </w:rPr>
        <w:t>labeling([min(Cost), ff, bisect], Guards).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4" w:space="4" w:color="0D47A1"/>
        </w:pBdr>
        <w:spacing w:before="240" w:after="120"/>
        <w:rPr/>
      </w:pPr>
      <w:r>
        <w:rPr>
          <w:b/>
          <w:bCs/>
          <w:color w:val="0D47A1"/>
          <w:sz w:val="28"/>
          <w:szCs w:val="28"/>
        </w:rPr>
        <w:t>5. Programação Dinâmica (dp_guards.py)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Três variantes, seleccionadas automaticamente por dp_best() consoante a estrutura da partição.</w:t>
      </w:r>
    </w:p>
    <w:p>
      <w:pPr>
        <w:pStyle w:val="Heading2"/>
        <w:spacing w:before="180" w:after="80"/>
        <w:rPr/>
      </w:pPr>
      <w:r>
        <w:rPr>
          <w:b/>
          <w:bCs/>
          <w:color w:val="1565C0"/>
          <w:sz w:val="24"/>
          <w:szCs w:val="24"/>
        </w:rPr>
        <w:t>5.1 DP-1D — Partições Lineares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Detectada quando todos os retângulos partilham a mesma faixa. Aplica recorrência óptima de cobertura de intervalos em O(n): dp[j] = min(dp[j-1]+1, dp[j-2]+1). Resultado real: 6.0 guardas, &lt;0.1ms, gap=0.00 em inst_1d. CORRECÇÃO: a DP em inst_small obtém 3.0 guardas com gap=+0.40 (não +0.00), pois o óptimo CP-SAT é 2.6 guardas — a DP-COL não encontra o óptimo para estruturas não lineares.</w:t>
      </w:r>
    </w:p>
    <w:p>
      <w:pPr>
        <w:pStyle w:val="Normal"/>
        <w:shd w:val="clear" w:fill="F5F5F5"/>
        <w:spacing w:before="60" w:after="60"/>
        <w:ind w:left="360" w:hanging="0"/>
        <w:rPr/>
      </w:pPr>
      <w:r>
        <w:rPr>
          <w:rFonts w:eastAsia="Courier New" w:cs="Courier New" w:ascii="Courier New" w:hAnsi="Courier New"/>
          <w:sz w:val="16"/>
          <w:szCs w:val="16"/>
        </w:rPr>
        <w:t>dp[0]=0, dp[1]=1</w:t>
      </w:r>
    </w:p>
    <w:p>
      <w:pPr>
        <w:pStyle w:val="Normal"/>
        <w:shd w:val="clear" w:fill="F5F5F5"/>
        <w:spacing w:before="60" w:after="60"/>
        <w:ind w:left="360" w:hanging="0"/>
        <w:rPr/>
      </w:pPr>
      <w:r>
        <w:rPr>
          <w:rFonts w:eastAsia="Courier New" w:cs="Courier New" w:ascii="Courier New" w:hAnsi="Courier New"/>
          <w:sz w:val="16"/>
          <w:szCs w:val="16"/>
        </w:rPr>
        <w:t>dp[j] = min(dp[j-1]+1, dp[j-2]+1)</w:t>
      </w:r>
    </w:p>
    <w:p>
      <w:pPr>
        <w:pStyle w:val="Heading2"/>
        <w:spacing w:before="180" w:after="80"/>
        <w:rPr/>
      </w:pPr>
      <w:r>
        <w:rPr>
          <w:b/>
          <w:bCs/>
          <w:color w:val="1565C0"/>
          <w:sz w:val="24"/>
          <w:szCs w:val="24"/>
        </w:rPr>
        <w:t>5.2 DP-COL — Profile DP por Fronteiras Verticais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Para partições 2D, varre fronteiras X[0]...X[K]. Estado = bitmask dos guardas em X[j] + frozenset dos retângulos não cobertos. Complexidade: O(K · 2^W · R).</w:t>
      </w:r>
    </w:p>
    <w:p>
      <w:pPr>
        <w:pStyle w:val="Heading2"/>
        <w:spacing w:before="180" w:after="80"/>
        <w:rPr/>
      </w:pPr>
      <w:r>
        <w:rPr>
          <w:b/>
          <w:bCs/>
          <w:color w:val="1565C0"/>
          <w:sz w:val="24"/>
          <w:szCs w:val="24"/>
        </w:rPr>
        <w:t>5.3 DP-ROW — Profile DP por Fronteiras Horizontais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Simétrica à DP-COL mas processa fronteiras Y[j]. Escolhida quando max_row_height ≤ max_col_width. Inclui timeout configurável (default 5s).</w:t>
      </w:r>
    </w:p>
    <w:tbl>
      <w:tblPr>
        <w:tblW w:w="938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499"/>
        <w:gridCol w:w="3000"/>
        <w:gridCol w:w="2301"/>
        <w:gridCol w:w="1500"/>
        <w:gridCol w:w="1086"/>
      </w:tblGrid>
      <w:tr>
        <w:trPr/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Variante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Quando usada</w:t>
            </w:r>
          </w:p>
        </w:tc>
        <w:tc>
          <w:tcPr>
            <w:tcW w:w="23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Gap real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Tempo real</w:t>
            </w:r>
          </w:p>
        </w:tc>
        <w:tc>
          <w:tcPr>
            <w:tcW w:w="10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Óptima</w:t>
            </w:r>
          </w:p>
        </w:tc>
      </w:tr>
      <w:tr>
        <w:trPr/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DP-1D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Detecção de estrutura linear</w:t>
            </w:r>
          </w:p>
        </w:tc>
        <w:tc>
          <w:tcPr>
            <w:tcW w:w="23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0.00 (em inst_1d)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&lt;0.1ms</w:t>
            </w:r>
          </w:p>
        </w:tc>
        <w:tc>
          <w:tcPr>
            <w:tcW w:w="10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Sempre</w:t>
            </w:r>
          </w:p>
        </w:tc>
      </w:tr>
      <w:tr>
        <w:trPr/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DP-COL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max_col ≤ max_row (default)</w:t>
            </w:r>
          </w:p>
        </w:tc>
        <w:tc>
          <w:tcPr>
            <w:tcW w:w="23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0.00 / +0.40 (inst_small)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~0.3–0.4ms</w:t>
            </w:r>
          </w:p>
        </w:tc>
        <w:tc>
          <w:tcPr>
            <w:tcW w:w="10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Sim*</w:t>
            </w:r>
          </w:p>
        </w:tc>
      </w:tr>
      <w:tr>
        <w:trPr/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DP-ROW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max_row &lt; max_col</w:t>
            </w:r>
          </w:p>
        </w:tc>
        <w:tc>
          <w:tcPr>
            <w:tcW w:w="23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0.00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variável</w:t>
            </w:r>
          </w:p>
        </w:tc>
        <w:tc>
          <w:tcPr>
            <w:tcW w:w="10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Sim*</w:t>
            </w:r>
          </w:p>
        </w:tc>
      </w:tr>
    </w:tbl>
    <w:p>
      <w:pPr>
        <w:pStyle w:val="Normal"/>
        <w:spacing w:before="40" w:after="120"/>
        <w:jc w:val="center"/>
        <w:rPr/>
      </w:pPr>
      <w:r>
        <w:rPr>
          <w:i/>
          <w:iCs/>
          <w:color w:val="555555"/>
          <w:sz w:val="17"/>
          <w:szCs w:val="17"/>
        </w:rPr>
        <w:t>Tabela 6 — Variantes da DP. (* sujeita a timeout; DP-COL tem gap +0.40 em inst_small).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4" w:space="4" w:color="0D47A1"/>
        </w:pBdr>
        <w:spacing w:before="240" w:after="120"/>
        <w:rPr/>
      </w:pPr>
      <w:r>
        <w:rPr>
          <w:b/>
          <w:bCs/>
          <w:color w:val="0D47A1"/>
          <w:sz w:val="28"/>
          <w:szCs w:val="28"/>
        </w:rPr>
        <w:t>6. Resultados Experimentais (benchmark.py)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O benchmark unificado foi executado 10 vezes sobre todos os conjuntos de instâncias (runs de 20260511 e 20260521). O CP-SAT serve de referência óptima. Os valores são médias dessas execuções.</w:t>
      </w:r>
    </w:p>
    <w:p>
      <w:pPr>
        <w:pStyle w:val="Heading2"/>
        <w:spacing w:before="180" w:after="80"/>
        <w:rPr/>
      </w:pPr>
      <w:r>
        <w:rPr>
          <w:b/>
          <w:bCs/>
          <w:color w:val="1565C0"/>
          <w:sz w:val="24"/>
          <w:szCs w:val="24"/>
        </w:rPr>
        <w:t>6.1 Tabela Completa de Resultados</w:t>
      </w:r>
    </w:p>
    <w:tbl>
      <w:tblPr>
        <w:tblW w:w="938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800"/>
        <w:gridCol w:w="2200"/>
        <w:gridCol w:w="1300"/>
        <w:gridCol w:w="1799"/>
        <w:gridCol w:w="2287"/>
      </w:tblGrid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Ficheiro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Método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Guardas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Gap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Tempo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inst_small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Greedy MaxCov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3.0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+0.40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&lt;1ms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Greedy Grau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3.2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+0.60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&lt;1ms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Greedy Aleat.×30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2.6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~0.6ms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MAC + AC-3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2.6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~66ms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Prog. Dinâmica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3.0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+0.40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~0.4ms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CP-SAT (ref.)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2.6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~131ms (overhead)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inst_1d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Greedy MaxCov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6.6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+0.60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&lt;1ms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Greedy Grau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10.6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+4.60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&lt;1ms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Greedy Aleat.×30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6.0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~2ms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MAC + AC-3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5.0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>(ver nota)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~2370ms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Prog. Dinâmica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6.0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&lt;1ms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CP-SAT (ref.)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6.0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~16ms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inst_grid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Greedy MaxCov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3.5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&lt;1ms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Greedy Grau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5.7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+2.17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&lt;1ms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Greedy Aleat.×30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3.5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~1ms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MAC + AC-3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3.5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~209ms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CP-SAT (ref.)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3.5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~16ms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inst_original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Greedy MaxCov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3.8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+0.75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&lt;1ms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Greedy Grau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4.8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+1.75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&lt;1ms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Greedy Aleat.×30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3.0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~0.8ms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MAC + AC-3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3.0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~58ms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CP-SAT (ref.)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3.0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~16ms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inst_medium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Greedy MaxCov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5.2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+0.30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&lt;1ms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Greedy Grau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8.2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+3.30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&lt;1ms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Greedy Aleat.×30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4.9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~2ms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MAC + AC-3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4.6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 (run parcial)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~42ms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CP-SAT (ref.)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4.9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~92ms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inst_large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Greedy MaxCov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14.2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+1.40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&lt;1ms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Greedy Grau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31.4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+18.60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&lt;1ms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Greedy Aleat.×30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13.0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+0.20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~15ms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CP-SAT (ref.)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12.8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~22ms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inst_advers.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Greedy MaxCov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5.9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+0.38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&lt;1ms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Greedy Grau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10.8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+5.25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&lt;1ms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Greedy Aleat.×30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5.6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+0.12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~2ms</w:t>
            </w:r>
          </w:p>
        </w:tc>
      </w:tr>
      <w:tr>
        <w:trPr/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CP-SAT (ref.)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5.5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+0.00</w:t>
            </w:r>
          </w:p>
        </w:tc>
        <w:tc>
          <w:tcPr>
            <w:tcW w:w="22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~16ms</w:t>
            </w:r>
          </w:p>
        </w:tc>
      </w:tr>
    </w:tbl>
    <w:p>
      <w:pPr>
        <w:pStyle w:val="Normal"/>
        <w:spacing w:before="40" w:after="120"/>
        <w:jc w:val="center"/>
        <w:rPr/>
      </w:pPr>
      <w:r>
        <w:rPr>
          <w:i/>
          <w:iCs/>
          <w:color w:val="555555"/>
          <w:sz w:val="17"/>
          <w:szCs w:val="17"/>
        </w:rPr>
        <w:t>Tabela 7 — Resultados completos (10 runs). DP inst_small: gap +0.40 (corrigido). MAC inst_1d: média parcial.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180" w:after="80"/>
        <w:rPr/>
      </w:pPr>
      <w:r>
        <w:rPr>
          <w:b/>
          <w:bCs/>
          <w:color w:val="1565C0"/>
          <w:sz w:val="24"/>
          <w:szCs w:val="24"/>
        </w:rPr>
        <w:t>6.2 Gráficos de Resultados Reais</w:t>
      </w:r>
    </w:p>
    <w:p>
      <w:pPr>
        <w:pStyle w:val="Normal"/>
        <w:spacing w:before="80" w:after="40"/>
        <w:jc w:val="center"/>
        <w:rPr/>
      </w:pPr>
      <w:r>
        <w:rPr/>
        <w:drawing>
          <wp:inline distT="0" distB="0" distL="0" distR="0">
            <wp:extent cx="635" cy="63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" cy="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  <w:rPr/>
      </w:pPr>
      <w:r>
        <w:rPr>
          <w:i/>
          <w:iCs/>
          <w:color w:val="555555"/>
          <w:sz w:val="17"/>
          <w:szCs w:val="17"/>
        </w:rPr>
        <w:t>Figura 4 — Gap médio face ao óptimo CP-SAT (dados reais, 10 runs). DP inst_small corrigido para +0.40. MAC inst_1d marcado como "timeout*" — média não comparável directamente.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40"/>
        <w:jc w:val="center"/>
        <w:rPr/>
      </w:pPr>
      <w:r>
        <w:rPr/>
        <w:drawing>
          <wp:inline distT="0" distB="0" distL="0" distR="0">
            <wp:extent cx="635" cy="635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" cy="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  <w:rPr/>
      </w:pPr>
      <w:r>
        <w:rPr>
          <w:i/>
          <w:iCs/>
          <w:color w:val="555555"/>
          <w:sz w:val="17"/>
          <w:szCs w:val="17"/>
        </w:rPr>
        <w:t>Figura 5 — Tempos de execução médios (ms). MAC+AC-3 omitido por escala. Overhead de inicialização do CP-SAT visível em inst_small (~131ms).</w:t>
      </w:r>
    </w:p>
    <w:p>
      <w:pPr>
        <w:pStyle w:val="Normal"/>
        <w:spacing w:before="80" w:after="40"/>
        <w:jc w:val="center"/>
        <w:rPr/>
      </w:pPr>
      <w:r>
        <w:rPr/>
        <w:drawing>
          <wp:inline distT="0" distB="0" distL="0" distR="0">
            <wp:extent cx="635" cy="635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" cy="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  <w:rPr/>
      </w:pPr>
      <w:r>
        <w:rPr>
          <w:i/>
          <w:iCs/>
          <w:color w:val="555555"/>
          <w:sz w:val="17"/>
          <w:szCs w:val="17"/>
        </w:rPr>
        <w:t>Figura 5b — MAC+AC-3 vs CP-SAT (escala log). Em inst_1d: MAC ~2370ms vs CP-SAT ~16ms (×148 mais lento).</w:t>
      </w:r>
    </w:p>
    <w:p>
      <w:pPr>
        <w:pStyle w:val="Normal"/>
        <w:spacing w:before="80" w:after="40"/>
        <w:jc w:val="center"/>
        <w:rPr/>
      </w:pPr>
      <w:r>
        <w:rPr/>
        <w:drawing>
          <wp:inline distT="0" distB="0" distL="0" distR="0">
            <wp:extent cx="635" cy="635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" cy="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  <w:rPr/>
      </w:pPr>
      <w:r>
        <w:rPr>
          <w:i/>
          <w:iCs/>
          <w:color w:val="555555"/>
          <w:sz w:val="17"/>
          <w:szCs w:val="17"/>
        </w:rPr>
        <w:t>Figura 5c — Gap em todos os 7 conjuntos de instâncias. G. Aleat.×30 não é óptimo em inst_large (+0.20) e inst_adversarial (+0.12). G. Grau em inst_large (+18.60) está fora da escala — valor anotado.</w:t>
      </w:r>
    </w:p>
    <w:p>
      <w:pPr>
        <w:pStyle w:val="Heading2"/>
        <w:spacing w:before="180" w:after="80"/>
        <w:rPr/>
      </w:pPr>
      <w:r>
        <w:rPr>
          <w:b/>
          <w:bCs/>
          <w:color w:val="1565C0"/>
          <w:sz w:val="24"/>
          <w:szCs w:val="24"/>
        </w:rPr>
        <w:t>6.3 Análise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Greedy Aleatório×30 é o método greedy mais robusto: gap=0.00 nas instâncias principais (small, 1d, grid, original, medium), mas não é garantidamente óptimo em instâncias grandes/adversariais (gap +0.20 e +0.12). Greedy MaxCov tem gap baixo (&lt;1.40) e é o mais rápido (&lt;1ms). Greedy Grau é inadequado para uso prático — gap +4.60 em inst_1d e +18.60 em inst_large.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MAC+AC-3 é sempre óptimo quando termina, mas escala muito mal: 2370ms em inst_1d. A média de 5.0 guardas em inst_1d reflecte apenas as instâncias mais fáceis. DP tem gap +0.40 em inst_small (estrutura não linear onde DP-COL não encontra o óptimo). CP-SAT é a referência exacta mais prática (13–131ms), com overhead de inicialização visível em instâncias pequenas.</w:t>
      </w:r>
    </w:p>
    <w:tbl>
      <w:tblPr>
        <w:tblW w:w="9386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86"/>
      </w:tblGrid>
      <w:tr>
        <w:trPr/>
        <w:tc>
          <w:tcPr>
            <w:tcW w:w="9386" w:type="dxa"/>
            <w:tcBorders>
              <w:top w:val="single" w:sz="2" w:space="0" w:color="2E7D32"/>
              <w:left w:val="single" w:sz="2" w:space="0" w:color="2E7D32"/>
              <w:bottom w:val="single" w:sz="2" w:space="0" w:color="2E7D32"/>
              <w:right w:val="single" w:sz="2" w:space="0" w:color="2E7D32"/>
            </w:tcBorders>
            <w:shd w:fill="E8F5E9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19"/>
                <w:szCs w:val="19"/>
              </w:rPr>
              <w:t>Conclusão: nenhum método greedy é sempre óptimo. G. Aleat.×30 é o mais próximo, mas falha em instâncias grandes. Para garantia de optimalidade é necessário CP-SAT ou MAC+AC-3 (com timeout adequado).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4" w:space="4" w:color="0D47A1"/>
        </w:pBdr>
        <w:spacing w:before="240" w:after="120"/>
        <w:rPr/>
      </w:pPr>
      <w:r>
        <w:rPr>
          <w:b/>
          <w:bCs/>
          <w:color w:val="0D47A1"/>
          <w:sz w:val="28"/>
          <w:szCs w:val="28"/>
        </w:rPr>
        <w:t>7. Extensões do Problema (extras.py)</w:t>
      </w:r>
    </w:p>
    <w:p>
      <w:pPr>
        <w:pStyle w:val="Heading2"/>
        <w:spacing w:before="180" w:after="80"/>
        <w:rPr/>
      </w:pPr>
      <w:r>
        <w:rPr>
          <w:b/>
          <w:bCs/>
          <w:color w:val="1565C0"/>
          <w:sz w:val="24"/>
          <w:szCs w:val="24"/>
        </w:rPr>
        <w:t>7.1 Extensão 4a — Guardas com Cores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Dois guardas que vigiem o mesmo retângulo devem ter cores distintas. Modela-se como coloração do grafo de conflito Gc = (Guards, Ec), onde existe aresta (gi, gj) se os dois guardas cobrem pelo menos um retângulo em comum.</w:t>
      </w:r>
    </w:p>
    <w:tbl>
      <w:tblPr>
        <w:tblW w:w="938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1800"/>
        <w:gridCol w:w="2800"/>
        <w:gridCol w:w="2785"/>
      </w:tblGrid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Algoritmo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Qualidade</w:t>
            </w:r>
          </w:p>
        </w:tc>
        <w:tc>
          <w:tcPr>
            <w:tcW w:w="27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Complexidade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DSATUR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Heurístico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Boa (≤ χ+1 tipicamente)</w:t>
            </w:r>
          </w:p>
        </w:tc>
        <w:tc>
          <w:tcPr>
            <w:tcW w:w="27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O(|Guards|²)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ILP de coloração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Exacto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χ(Gc) exacto</w:t>
            </w:r>
          </w:p>
        </w:tc>
        <w:tc>
          <w:tcPr>
            <w:tcW w:w="27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NP-difícil</w:t>
            </w:r>
          </w:p>
        </w:tc>
      </w:tr>
    </w:tbl>
    <w:p>
      <w:pPr>
        <w:pStyle w:val="Normal"/>
        <w:spacing w:before="40" w:after="120"/>
        <w:jc w:val="center"/>
        <w:rPr/>
      </w:pPr>
      <w:r>
        <w:rPr>
          <w:i/>
          <w:iCs/>
          <w:color w:val="555555"/>
          <w:sz w:val="17"/>
          <w:szCs w:val="17"/>
        </w:rPr>
        <w:t>Tabela 8 — Algoritmos de coloração de guardas.</w:t>
      </w:r>
    </w:p>
    <w:tbl>
      <w:tblPr>
        <w:tblW w:w="938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1999"/>
        <w:gridCol w:w="2000"/>
        <w:gridCol w:w="2886"/>
      </w:tblGrid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Instância</w:t>
            </w:r>
          </w:p>
        </w:tc>
        <w:tc>
          <w:tcPr>
            <w:tcW w:w="1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Guardas (opt.)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Cores DSATUR</w:t>
            </w:r>
          </w:p>
        </w:tc>
        <w:tc>
          <w:tcPr>
            <w:tcW w:w="28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Cores ILP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grid 2×2</w:t>
            </w:r>
          </w:p>
        </w:tc>
        <w:tc>
          <w:tcPr>
            <w:tcW w:w="1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1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1</w:t>
            </w:r>
          </w:p>
        </w:tc>
        <w:tc>
          <w:tcPr>
            <w:tcW w:w="28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1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grid 3×3</w:t>
            </w:r>
          </w:p>
        </w:tc>
        <w:tc>
          <w:tcPr>
            <w:tcW w:w="1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4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2</w:t>
            </w:r>
          </w:p>
        </w:tc>
        <w:tc>
          <w:tcPr>
            <w:tcW w:w="28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2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grid 4×4</w:t>
            </w:r>
          </w:p>
        </w:tc>
        <w:tc>
          <w:tcPr>
            <w:tcW w:w="1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4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2</w:t>
            </w:r>
          </w:p>
        </w:tc>
        <w:tc>
          <w:tcPr>
            <w:tcW w:w="28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2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small (6r)</w:t>
            </w:r>
          </w:p>
        </w:tc>
        <w:tc>
          <w:tcPr>
            <w:tcW w:w="1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2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2</w:t>
            </w:r>
          </w:p>
        </w:tc>
        <w:tc>
          <w:tcPr>
            <w:tcW w:w="28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2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medium (12r)</w:t>
            </w:r>
          </w:p>
        </w:tc>
        <w:tc>
          <w:tcPr>
            <w:tcW w:w="1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4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2</w:t>
            </w:r>
          </w:p>
        </w:tc>
        <w:tc>
          <w:tcPr>
            <w:tcW w:w="28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2</w:t>
            </w:r>
          </w:p>
        </w:tc>
      </w:tr>
    </w:tbl>
    <w:p>
      <w:pPr>
        <w:pStyle w:val="Normal"/>
        <w:spacing w:before="40" w:after="120"/>
        <w:jc w:val="center"/>
        <w:rPr/>
      </w:pPr>
      <w:r>
        <w:rPr>
          <w:i/>
          <w:iCs/>
          <w:color w:val="555555"/>
          <w:sz w:val="17"/>
          <w:szCs w:val="17"/>
        </w:rPr>
        <w:t>Tabela 9 — Coloração da solução mínima. 2 cores são sempre suficientes.</w:t>
      </w:r>
    </w:p>
    <w:tbl>
      <w:tblPr>
        <w:tblW w:w="9386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86"/>
      </w:tblGrid>
      <w:tr>
        <w:trPr/>
        <w:tc>
          <w:tcPr>
            <w:tcW w:w="9386" w:type="dxa"/>
            <w:tcBorders>
              <w:top w:val="single" w:sz="2" w:space="0" w:color="2E7D32"/>
              <w:left w:val="single" w:sz="2" w:space="0" w:color="2E7D32"/>
              <w:bottom w:val="single" w:sz="2" w:space="0" w:color="2E7D32"/>
              <w:right w:val="single" w:sz="2" w:space="0" w:color="2E7D32"/>
            </w:tcBorders>
            <w:shd w:fill="E8F5E9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19"/>
                <w:szCs w:val="19"/>
              </w:rPr>
              <w:t>Resultado chave: para o número mínimo de guardas (solução CP-SAT), o número mínimo de cores é χ(Gc) ≥ ω(Gc). Nas instâncias testadas, 2 cores são sempre suficientes — DSATUR e ILP concordam.</w:t>
            </w:r>
          </w:p>
        </w:tc>
      </w:tr>
    </w:tbl>
    <w:p>
      <w:pPr>
        <w:pStyle w:val="Normal"/>
        <w:spacing w:before="80" w:after="80"/>
        <w:rPr/>
      </w:pPr>
      <w:r>
        <w:rPr/>
      </w:r>
    </w:p>
    <w:p>
      <w:pPr>
        <w:pStyle w:val="Heading2"/>
        <w:spacing w:before="180" w:after="80"/>
        <w:rPr/>
      </w:pPr>
      <w:r>
        <w:rPr>
          <w:b/>
          <w:bCs/>
          <w:color w:val="1565C0"/>
          <w:sz w:val="24"/>
          <w:szCs w:val="24"/>
        </w:rPr>
        <w:t>7.2 Extensão 4b — Guardas com Alcance Alargado D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Um guarda em v cobre todos os retângulos alcançáveis em ≤ D arestas no grafo bipartido V∪R. Implementado via BFS (coverage_at_distance), alternando vértice↔retângulo. Com D=0 ou D=1 o comportamento é idêntico ao base.</w:t>
      </w:r>
    </w:p>
    <w:p>
      <w:pPr>
        <w:pStyle w:val="Normal"/>
        <w:spacing w:before="80" w:after="40"/>
        <w:jc w:val="center"/>
        <w:rPr/>
      </w:pPr>
      <w:r>
        <w:rPr/>
        <w:drawing>
          <wp:inline distT="0" distB="0" distL="0" distR="0">
            <wp:extent cx="635" cy="635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" cy="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  <w:rPr/>
      </w:pPr>
      <w:r>
        <w:rPr>
          <w:i/>
          <w:iCs/>
          <w:color w:val="555555"/>
          <w:sz w:val="17"/>
          <w:szCs w:val="17"/>
        </w:rPr>
        <w:t>Figura 6 — Guardas vs Alcance D em grelhas regulares. Com D=2 redução de ~37%; com D=3 até ~50%.</w:t>
      </w:r>
    </w:p>
    <w:tbl>
      <w:tblPr>
        <w:tblW w:w="938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99"/>
        <w:gridCol w:w="3500"/>
        <w:gridCol w:w="1500"/>
        <w:gridCol w:w="1501"/>
        <w:gridCol w:w="2086"/>
      </w:tblGrid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D</w:t>
            </w:r>
          </w:p>
        </w:tc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Cobertura por guarda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Guardas 3×3</w:t>
            </w:r>
          </w:p>
        </w:tc>
        <w:tc>
          <w:tcPr>
            <w:tcW w:w="1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Guardas 4×4</w:t>
            </w:r>
          </w:p>
        </w:tc>
        <w:tc>
          <w:tcPr>
            <w:tcW w:w="20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Redução (4×4)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0 / 1</w:t>
            </w:r>
          </w:p>
        </w:tc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Rects incidentes em v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4</w:t>
            </w:r>
          </w:p>
        </w:tc>
        <w:tc>
          <w:tcPr>
            <w:tcW w:w="1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4</w:t>
            </w:r>
          </w:p>
        </w:tc>
        <w:tc>
          <w:tcPr>
            <w:tcW w:w="20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—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2</w:t>
            </w:r>
          </w:p>
        </w:tc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Rects dos vértices vizinhos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2–3</w:t>
            </w:r>
          </w:p>
        </w:tc>
        <w:tc>
          <w:tcPr>
            <w:tcW w:w="1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2–3</w:t>
            </w:r>
          </w:p>
        </w:tc>
        <w:tc>
          <w:tcPr>
            <w:tcW w:w="20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~37%</w:t>
            </w:r>
          </w:p>
        </w:tc>
      </w:tr>
      <w:tr>
        <w:trPr/>
        <w:tc>
          <w:tcPr>
            <w:tcW w:w="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3</w:t>
            </w:r>
          </w:p>
        </w:tc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Rects dos vizinhos dos vizinhos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1–2</w:t>
            </w:r>
          </w:p>
        </w:tc>
        <w:tc>
          <w:tcPr>
            <w:tcW w:w="1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2</w:t>
            </w:r>
          </w:p>
        </w:tc>
        <w:tc>
          <w:tcPr>
            <w:tcW w:w="20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~50%</w:t>
            </w:r>
          </w:p>
        </w:tc>
      </w:tr>
    </w:tbl>
    <w:p>
      <w:pPr>
        <w:pStyle w:val="Normal"/>
        <w:spacing w:before="40" w:after="120"/>
        <w:jc w:val="center"/>
        <w:rPr/>
      </w:pPr>
      <w:r>
        <w:rPr>
          <w:i/>
          <w:iCs/>
          <w:color w:val="555555"/>
          <w:sz w:val="17"/>
          <w:szCs w:val="17"/>
        </w:rPr>
        <w:t>Tabela 10 — Impacto do alcance D.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4" w:space="4" w:color="0D47A1"/>
        </w:pBdr>
        <w:spacing w:before="240" w:after="120"/>
        <w:rPr/>
      </w:pPr>
      <w:r>
        <w:rPr>
          <w:b/>
          <w:bCs/>
          <w:color w:val="0D47A1"/>
          <w:sz w:val="28"/>
          <w:szCs w:val="28"/>
        </w:rPr>
        <w:t>8. Cobertura Parcial (Π' ⊂ Π)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Todos os algoritmos recebem o parâmetro target_rects. A selecção dos retângulos alvo é feita por grau mínimo dos vértices adjacentes (mais difíceis primeiro). Com cobertura parcial, todos os greedy atingem gap=0.</w:t>
      </w:r>
    </w:p>
    <w:tbl>
      <w:tblPr>
        <w:tblW w:w="938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200"/>
        <w:gridCol w:w="1800"/>
        <w:gridCol w:w="2299"/>
        <w:gridCol w:w="2001"/>
        <w:gridCol w:w="1086"/>
      </w:tblGrid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Cobertura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G. MaxCov</w:t>
            </w:r>
          </w:p>
        </w:tc>
        <w:tc>
          <w:tcPr>
            <w:tcW w:w="2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G. Grau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G. Aleat.×30</w:t>
            </w:r>
          </w:p>
        </w:tc>
        <w:tc>
          <w:tcPr>
            <w:tcW w:w="10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CP-SAT (ref.)</w:t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100% (total)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0.00–1.40</w:t>
            </w:r>
          </w:p>
        </w:tc>
        <w:tc>
          <w:tcPr>
            <w:tcW w:w="2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+0.60–18.60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0.00–0.20</w:t>
            </w:r>
          </w:p>
        </w:tc>
        <w:tc>
          <w:tcPr>
            <w:tcW w:w="10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ref.</w:t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80% (parcial)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0.00</w:t>
            </w:r>
          </w:p>
        </w:tc>
        <w:tc>
          <w:tcPr>
            <w:tcW w:w="2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0.00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0.00</w:t>
            </w:r>
          </w:p>
        </w:tc>
        <w:tc>
          <w:tcPr>
            <w:tcW w:w="10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ref.</w:t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70% (parcial)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0.00</w:t>
            </w:r>
          </w:p>
        </w:tc>
        <w:tc>
          <w:tcPr>
            <w:tcW w:w="2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0.00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0.00</w:t>
            </w:r>
          </w:p>
        </w:tc>
        <w:tc>
          <w:tcPr>
            <w:tcW w:w="10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ref.</w:t>
            </w:r>
          </w:p>
        </w:tc>
      </w:tr>
    </w:tbl>
    <w:p>
      <w:pPr>
        <w:pStyle w:val="Normal"/>
        <w:spacing w:before="40" w:after="120"/>
        <w:jc w:val="center"/>
        <w:rPr/>
      </w:pPr>
      <w:r>
        <w:rPr>
          <w:i/>
          <w:iCs/>
          <w:color w:val="555555"/>
          <w:sz w:val="17"/>
          <w:szCs w:val="17"/>
        </w:rPr>
        <w:t>Tabela 11 — Qualidade na cobertura parcial.</w:t>
      </w:r>
    </w:p>
    <w:p>
      <w:pPr>
        <w:pStyle w:val="Heading1"/>
        <w:pBdr>
          <w:bottom w:val="single" w:sz="4" w:space="4" w:color="0D47A1"/>
        </w:pBdr>
        <w:spacing w:before="240" w:after="120"/>
        <w:rPr/>
      </w:pPr>
      <w:r>
        <w:rPr>
          <w:b/>
          <w:bCs/>
          <w:color w:val="0D47A1"/>
          <w:sz w:val="28"/>
          <w:szCs w:val="28"/>
        </w:rPr>
        <w:t>9. Implementação e Arquitectura</w:t>
      </w:r>
    </w:p>
    <w:tbl>
      <w:tblPr>
        <w:tblW w:w="938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200"/>
        <w:gridCol w:w="4485"/>
        <w:gridCol w:w="2701"/>
      </w:tblGrid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Módulo</w:t>
            </w:r>
          </w:p>
        </w:tc>
        <w:tc>
          <w:tcPr>
            <w:tcW w:w="44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Responsabilidade</w:t>
            </w:r>
          </w:p>
        </w:tc>
        <w:tc>
          <w:tcPr>
            <w:tcW w:w="2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Dependências</w:t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greedy.py</w:t>
            </w:r>
          </w:p>
        </w:tc>
        <w:tc>
          <w:tcPr>
            <w:tcW w:w="44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3 estratégias greedy + verificação de solução</w:t>
            </w:r>
          </w:p>
        </w:tc>
        <w:tc>
          <w:tcPr>
            <w:tcW w:w="2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stdlib</w:t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mac_ac3.py</w:t>
            </w:r>
          </w:p>
        </w:tc>
        <w:tc>
          <w:tcPr>
            <w:tcW w:w="44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CSP manual + AC-3 + B&amp;B + ILP de referência</w:t>
            </w:r>
          </w:p>
        </w:tc>
        <w:tc>
          <w:tcPr>
            <w:tcW w:w="2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OR-Tools</w:t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Ortools.py</w:t>
            </w:r>
          </w:p>
        </w:tc>
        <w:tc>
          <w:tcPr>
            <w:tcW w:w="44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ILP(SCIP), CP-SAT, exportação Prolog (.pl)</w:t>
            </w:r>
          </w:p>
        </w:tc>
        <w:tc>
          <w:tcPr>
            <w:tcW w:w="2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OR-Tools</w:t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dp_guards.py</w:t>
            </w:r>
          </w:p>
        </w:tc>
        <w:tc>
          <w:tcPr>
            <w:tcW w:w="44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DP-1D, DP-COL, DP-ROW + análise estrutural</w:t>
            </w:r>
          </w:p>
        </w:tc>
        <w:tc>
          <w:tcPr>
            <w:tcW w:w="2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stdlib</w:t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extras.py</w:t>
            </w:r>
          </w:p>
        </w:tc>
        <w:tc>
          <w:tcPr>
            <w:tcW w:w="44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Grafo conflito, DSATUR, ILP coloração, BFS alcance D</w:t>
            </w:r>
          </w:p>
        </w:tc>
        <w:tc>
          <w:tcPr>
            <w:tcW w:w="2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OR-Tools</w:t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guards.pl</w:t>
            </w:r>
          </w:p>
        </w:tc>
        <w:tc>
          <w:tcPr>
            <w:tcW w:w="44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CLP(FD) em SWI-Prolog (total + parcial + ficheiro)</w:t>
            </w:r>
          </w:p>
        </w:tc>
        <w:tc>
          <w:tcPr>
            <w:tcW w:w="2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SWI-Prolog</w:t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benchmark.py</w:t>
            </w:r>
          </w:p>
        </w:tc>
        <w:tc>
          <w:tcPr>
            <w:tcW w:w="44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Orquestração, CSV, sumários, subprocess MAC</w:t>
            </w:r>
          </w:p>
        </w:tc>
        <w:tc>
          <w:tcPr>
            <w:tcW w:w="2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Todos</w:t>
            </w:r>
          </w:p>
        </w:tc>
      </w:tr>
    </w:tbl>
    <w:p>
      <w:pPr>
        <w:pStyle w:val="Normal"/>
        <w:spacing w:before="40" w:after="120"/>
        <w:jc w:val="center"/>
        <w:rPr/>
      </w:pPr>
      <w:r>
        <w:rPr>
          <w:i/>
          <w:iCs/>
          <w:color w:val="555555"/>
          <w:sz w:val="17"/>
          <w:szCs w:val="17"/>
        </w:rPr>
        <w:t>Tabela 12 — Arquitectura modular do projecto.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O benchmark.py corre o MAC+AC-3 em subprocess separado com timeout configurável (60s). As figuras das partições foram geradas em LaTeX (resFigs.tex) e os gráficos em Python.</w:t>
      </w:r>
    </w:p>
    <w:p>
      <w:pPr>
        <w:pStyle w:val="Normal"/>
        <w:shd w:val="clear" w:fill="F5F5F5"/>
        <w:spacing w:before="60" w:after="60"/>
        <w:ind w:left="360" w:hanging="0"/>
        <w:rPr/>
      </w:pPr>
      <w:r>
        <w:rPr>
          <w:rFonts w:eastAsia="Courier New" w:cs="Courier New" w:ascii="Courier New" w:hAnsi="Courier New"/>
          <w:sz w:val="16"/>
          <w:szCs w:val="16"/>
        </w:rPr>
        <w:t>python benchmark.py --all           # todos os ficheiros</w:t>
      </w:r>
    </w:p>
    <w:p>
      <w:pPr>
        <w:pStyle w:val="Normal"/>
        <w:shd w:val="clear" w:fill="F5F5F5"/>
        <w:spacing w:before="60" w:after="60"/>
        <w:ind w:left="360" w:hanging="0"/>
        <w:rPr/>
      </w:pPr>
      <w:r>
        <w:rPr>
          <w:rFonts w:eastAsia="Courier New" w:cs="Courier New" w:ascii="Courier New" w:hAnsi="Courier New"/>
          <w:sz w:val="16"/>
          <w:szCs w:val="16"/>
        </w:rPr>
        <w:t>python benchmark.py --all --mac     # inclui MAC+AC-3</w:t>
      </w:r>
    </w:p>
    <w:p>
      <w:pPr>
        <w:pStyle w:val="Normal"/>
        <w:shd w:val="clear" w:fill="F5F5F5"/>
        <w:spacing w:before="60" w:after="60"/>
        <w:ind w:left="360" w:hanging="0"/>
        <w:rPr/>
      </w:pPr>
      <w:r>
        <w:rPr>
          <w:rFonts w:eastAsia="Courier New" w:cs="Courier New" w:ascii="Courier New" w:hAnsi="Courier New"/>
          <w:sz w:val="16"/>
          <w:szCs w:val="16"/>
        </w:rPr>
        <w:t>python benchmark.py --all --partial # cobertura parcial 70%/80%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4" w:space="4" w:color="0D47A1"/>
        </w:pBdr>
        <w:spacing w:before="240" w:after="120"/>
        <w:rPr/>
      </w:pPr>
      <w:r>
        <w:rPr>
          <w:b/>
          <w:bCs/>
          <w:color w:val="0D47A1"/>
          <w:sz w:val="28"/>
          <w:szCs w:val="28"/>
        </w:rPr>
        <w:t>10. Conclusões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Este trabalho abordou o problema de vigilância de partições retangulares com quatro famílias de métodos, avaliados experimentalmente em instâncias reais de 4 a 63 retângulos (7 conjuntos, 10 runs de benchmark).</w:t>
      </w:r>
    </w:p>
    <w:tbl>
      <w:tblPr>
        <w:tblW w:w="938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3000"/>
        <w:gridCol w:w="1800"/>
        <w:gridCol w:w="2085"/>
      </w:tblGrid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Método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Qualidade (gap)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Velocidade</w:t>
            </w:r>
          </w:p>
        </w:tc>
        <w:tc>
          <w:tcPr>
            <w:tcW w:w="20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D47A1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Escalabilidade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Greedy MaxCov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★★★★☆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>(0.00–1.40)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★★★★★</w:t>
            </w:r>
          </w:p>
        </w:tc>
        <w:tc>
          <w:tcPr>
            <w:tcW w:w="20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★★★★★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Greedy Grau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★★☆☆☆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>(0.00–18.60)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★★★★★</w:t>
            </w:r>
          </w:p>
        </w:tc>
        <w:tc>
          <w:tcPr>
            <w:tcW w:w="20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★★★★★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Greedy Aleat.×30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★★★★☆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>(0.00–0.20)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★★★★☆</w:t>
            </w:r>
          </w:p>
        </w:tc>
        <w:tc>
          <w:tcPr>
            <w:tcW w:w="20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★★★★☆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MAC + AC-3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★★★★★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>(0.00 quando term.)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★★★☆☆</w:t>
            </w:r>
          </w:p>
        </w:tc>
        <w:tc>
          <w:tcPr>
            <w:tcW w:w="20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★★☆☆☆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Prog. Dinâmica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★★★★☆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>(0.00 em lineares)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★★★★★</w:t>
            </w:r>
          </w:p>
        </w:tc>
        <w:tc>
          <w:tcPr>
            <w:tcW w:w="20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★★★☆☆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CP-SAT (OR-Tools)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★★★★★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>(referência)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★★★★☆</w:t>
            </w:r>
          </w:p>
        </w:tc>
        <w:tc>
          <w:tcPr>
            <w:tcW w:w="20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★★★★☆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Prolog CLP(FD)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★★★★★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>(exacto)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★★★☆☆</w:t>
            </w:r>
          </w:p>
        </w:tc>
        <w:tc>
          <w:tcPr>
            <w:tcW w:w="208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3F2FD" w:val="clear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>★★★☆☆</w:t>
            </w:r>
          </w:p>
        </w:tc>
      </w:tr>
    </w:tbl>
    <w:p>
      <w:pPr>
        <w:pStyle w:val="Normal"/>
        <w:spacing w:before="40" w:after="120"/>
        <w:jc w:val="center"/>
        <w:rPr/>
      </w:pPr>
      <w:r>
        <w:rPr>
          <w:i/>
          <w:iCs/>
          <w:color w:val="555555"/>
          <w:sz w:val="17"/>
          <w:szCs w:val="17"/>
        </w:rPr>
        <w:t>Tabela 13 — Avaliação qualitativa final. G. Aleat.×30 ★★★★☆ (não óptimo em large/adversarial). DP ★★★★☆ (gap +0.40 em inst_small).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Destaques e correcções: (1) a DP em inst_small tem gap +0.40, não +0.00 — a estrutura não é linear e a DP-COL não encontra o óptimo; (2) a média do MAC+AC-3 em inst_1d (5.0 guardas) não é comparável com o CP-SAT (6.0) por razões de timeout selectivo; (3) o Greedy Aleat.×30 não é sempre óptimo — falha em instâncias grandes (+0.20) e adversariais (+0.12); (4) o CP-SAT tem overhead de inicialização visível em instâncias pequenas (~131ms).</w:t>
      </w:r>
    </w:p>
    <w:tbl>
      <w:tblPr>
        <w:tblW w:w="9386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86"/>
      </w:tblGrid>
      <w:tr>
        <w:trPr/>
        <w:tc>
          <w:tcPr>
            <w:tcW w:w="9386" w:type="dxa"/>
            <w:tcBorders>
              <w:top w:val="single" w:sz="2" w:space="0" w:color="2E7D32"/>
              <w:left w:val="single" w:sz="2" w:space="0" w:color="2E7D32"/>
              <w:bottom w:val="single" w:sz="2" w:space="0" w:color="2E7D32"/>
              <w:right w:val="single" w:sz="2" w:space="0" w:color="2E7D32"/>
            </w:tcBorders>
            <w:shd w:fill="E8F5E9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19"/>
                <w:szCs w:val="19"/>
              </w:rPr>
              <w:t>Recomendação final: Greedy Aleat.×30 para uso prático rápido (gap ~0 na maioria das instâncias, &lt;15ms); CP-SAT quando a optimalidade é crítica; DP-1D para partições lineares; MAC+AC-3 para fins pedagógicos de programação por restrições.</w:t>
            </w:r>
          </w:p>
        </w:tc>
      </w:tr>
    </w:tbl>
    <w:p>
      <w:pPr>
        <w:pStyle w:val="Normal"/>
        <w:spacing w:before="80" w:after="80"/>
        <w:rPr/>
      </w:pPr>
      <w:r>
        <w:rPr/>
      </w:r>
    </w:p>
    <w:p>
      <w:pPr>
        <w:pStyle w:val="Heading1"/>
        <w:pBdr>
          <w:bottom w:val="single" w:sz="4" w:space="4" w:color="0D47A1"/>
        </w:pBdr>
        <w:spacing w:before="240" w:after="120"/>
        <w:rPr/>
      </w:pPr>
      <w:r>
        <w:rPr>
          <w:b/>
          <w:bCs/>
          <w:color w:val="0D47A1"/>
          <w:sz w:val="28"/>
          <w:szCs w:val="28"/>
        </w:rPr>
        <w:t>Referências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[1] Chvátal, V. (1979). A greedy heuristic for the set-covering problem. Mathematics of Operations Research, 4(3), 233–235.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[2] Russell, S. &amp; Norvig, P. (2021). Artificial Intelligence: A Modern Approach, 4ª ed. Pearson.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[3] OR-Tools — Google. CP-SAT and SCIP. https://developers.google.com/optimization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[4] Triska, M. The Finite Domain Constraint Solver of SWI-Prolog. FLOPS 2012.</w:t>
      </w:r>
    </w:p>
    <w:p>
      <w:pPr>
        <w:pStyle w:val="Normal"/>
        <w:spacing w:before="60" w:after="60"/>
        <w:jc w:val="both"/>
        <w:rPr/>
      </w:pPr>
      <w:r>
        <w:rPr>
          <w:sz w:val="20"/>
          <w:szCs w:val="20"/>
        </w:rPr>
        <w:t>[5] Hochbaum, D. (1997). Approximation Algorithms for NP-Hard Problems. PWS Publishing.</w:t>
      </w:r>
    </w:p>
    <w:sectPr>
      <w:headerReference w:type="default" r:id="rId9"/>
      <w:footerReference w:type="default" r:id="rId10"/>
      <w:type w:val="nextPage"/>
      <w:pgSz w:w="11906" w:h="16838"/>
      <w:pgMar w:left="1260" w:right="1260" w:gutter="0" w:header="708" w:top="1260" w:footer="708" w:bottom="126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color w:val="555555"/>
        <w:sz w:val="16"/>
        <w:szCs w:val="16"/>
      </w:rPr>
      <w:t xml:space="preserve">Métodos de Apoio à Decisão — Trabalho Prático     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2" w:space="4" w:color="1565C0"/>
      </w:pBdr>
      <w:rPr/>
    </w:pPr>
    <w:r>
      <w:rPr>
        <w:color w:val="555555"/>
        <w:sz w:val="16"/>
        <w:szCs w:val="16"/>
      </w:rPr>
      <w:t>Vigilância de Partições Retangulares — MAD 2025/2026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pt-PT" w:eastAsia="zh-CN" w:bidi="hi-IN"/>
    </w:rPr>
  </w:style>
  <w:style w:type="paragraph" w:styleId="Heading1">
    <w:name w:val="Heading 1"/>
    <w:basedOn w:val="Heading"/>
    <w:qFormat/>
    <w:pPr>
      <w:spacing w:before="240" w:after="120"/>
      <w:outlineLvl w:val="0"/>
    </w:pPr>
    <w:rPr>
      <w:rFonts w:ascii="Arial" w:hAnsi="Arial" w:eastAsia="Arial" w:cs="Arial"/>
      <w:b/>
      <w:bCs/>
      <w:color w:val="0D47A1"/>
      <w:sz w:val="28"/>
      <w:szCs w:val="28"/>
    </w:rPr>
  </w:style>
  <w:style w:type="paragraph" w:styleId="Heading2">
    <w:name w:val="Heading 2"/>
    <w:basedOn w:val="Heading"/>
    <w:qFormat/>
    <w:pPr>
      <w:spacing w:before="180" w:after="80"/>
      <w:outlineLvl w:val="1"/>
    </w:pPr>
    <w:rPr>
      <w:rFonts w:ascii="Arial" w:hAnsi="Arial" w:eastAsia="Arial" w:cs="Arial"/>
      <w:b/>
      <w:bCs/>
      <w:color w:val="1565C0"/>
      <w:sz w:val="24"/>
      <w:szCs w:val="24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0"/>
      <w:szCs w:val="20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pt-PT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ntTable" Target="fontTable.xml"/><Relationship Id="rId12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12</Pages>
  <Words>2573</Words>
  <Characters>14038</Characters>
  <CharactersWithSpaces>16117</CharactersWithSpaces>
  <Paragraphs>558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2026-05-26T09:08:49Z</dcterms:created>
  <dc:creator>Un-named</dc:creator>
  <dc:description/>
  <dc:language>pt-PT</dc:language>
  <cp:lastModifiedBy/>
  <dcterms:modified xsi:type="dcterms:W3CDTF">2026-05-26T10:31:38Z</dcterms:modified>
  <cp:revision>2</cp:revision>
  <dc:subject/>
  <dc:title/>
</cp:coreProperties>
</file>