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>
          <w:rFonts w:ascii="Arial" w:hAnsi="Arial" w:eastAsia="Arial" w:cs="Arial"/>
          <w:b/>
          <w:b/>
          <w:bCs/>
          <w:color w:val="1A3A5C"/>
          <w:sz w:val="36"/>
          <w:szCs w:val="36"/>
        </w:rPr>
      </w:pPr>
      <w:r>
        <w:rPr>
          <w:rFonts w:eastAsia="Arial" w:cs="Arial"/>
          <w:b/>
          <w:bCs/>
          <w:color w:val="1A3A5C"/>
          <w:sz w:val="36"/>
          <w:szCs w:val="36"/>
        </w:rPr>
        <w:t>Vigilância de Partições Retangulares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320"/>
        <w:jc w:val="center"/>
        <w:rPr/>
      </w:pPr>
      <w:r>
        <w:rPr>
          <w:rFonts w:eastAsia="Arial" w:cs="Arial"/>
          <w:color w:val="2E6DA4"/>
          <w:sz w:val="24"/>
          <w:szCs w:val="24"/>
        </w:rPr>
        <w:t xml:space="preserve">Relatório do </w:t>
      </w:r>
      <w:r>
        <w:rPr>
          <w:rFonts w:eastAsia="Arial" w:cs="Arial"/>
          <w:color w:val="2E6DA4"/>
          <w:sz w:val="24"/>
          <w:szCs w:val="24"/>
        </w:rPr>
        <w:t>Trabalho Prátic</w:t>
      </w:r>
      <w:r>
        <w:rPr>
          <w:rFonts w:eastAsia="Arial" w:cs="Arial"/>
          <w:color w:val="2E6DA4"/>
          <w:sz w:val="24"/>
          <w:szCs w:val="24"/>
        </w:rPr>
        <w:t>o</w:t>
      </w:r>
    </w:p>
    <w:tbl>
      <w:tblPr>
        <w:tblW w:w="901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015"/>
      </w:tblGrid>
      <w:tr>
        <w:trPr/>
        <w:tc>
          <w:tcPr>
            <w:tcW w:w="3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Unidade 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Curricular</w:t>
            </w:r>
          </w:p>
        </w:tc>
        <w:tc>
          <w:tcPr>
            <w:tcW w:w="601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Métodos de Apoio à Decisão </w:t>
            </w:r>
          </w:p>
        </w:tc>
      </w:tr>
      <w:tr>
        <w:trPr/>
        <w:tc>
          <w:tcPr>
            <w:tcW w:w="3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articipantes</w:t>
            </w:r>
          </w:p>
        </w:tc>
        <w:tc>
          <w:tcPr>
            <w:tcW w:w="601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Afonso Araújo - up202305181</w:t>
            </w:r>
          </w:p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Bruno Barros – up202305457</w:t>
            </w:r>
          </w:p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Francisco Moreira - up202306691</w:t>
            </w:r>
          </w:p>
        </w:tc>
      </w:tr>
      <w:tr>
        <w:trPr/>
        <w:tc>
          <w:tcPr>
            <w:tcW w:w="3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Ferramentas</w:t>
            </w:r>
          </w:p>
        </w:tc>
        <w:tc>
          <w:tcPr>
            <w:tcW w:w="601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Python 3 · OR-Tools (CP-SAT/SCIP) · SWI-Prolog CLP(FD)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 xml:space="preserve">Resumo </w:t>
      </w:r>
      <w:r>
        <w:rPr>
          <w:rFonts w:eastAsia="Arial" w:cs="Arial" w:ascii="Arial" w:hAnsi="Arial"/>
          <w:b/>
          <w:bCs/>
          <w:color w:val="1A3A5C"/>
          <w:sz w:val="28"/>
          <w:szCs w:val="28"/>
        </w:rPr>
        <w:t>do relatório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Este relatório descreve a resolução do problema de </w:t>
      </w:r>
      <w:r>
        <w:rPr>
          <w:rFonts w:eastAsia="Arial" w:cs="Arial"/>
          <w:b/>
          <w:bCs/>
          <w:sz w:val="20"/>
          <w:szCs w:val="20"/>
        </w:rPr>
        <w:t>Vigilância de Partições Retangulares</w:t>
      </w:r>
      <w:r>
        <w:rPr>
          <w:rFonts w:eastAsia="Arial" w:cs="Arial"/>
          <w:sz w:val="20"/>
          <w:szCs w:val="20"/>
        </w:rPr>
        <w:t xml:space="preserve">: colocar o menor número possível de guardas nos vértices de uma partição de modo a que cada retângulo de um subconjunto Π′ ⊆ Π seja vigiado. São avaliadas quatro famílias de métodos — </w:t>
      </w:r>
      <w:r>
        <w:rPr>
          <w:rFonts w:eastAsia="Arial" w:cs="Arial"/>
          <w:b/>
          <w:bCs/>
          <w:sz w:val="20"/>
          <w:szCs w:val="20"/>
        </w:rPr>
        <w:t>greedy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b/>
          <w:bCs/>
          <w:sz w:val="20"/>
          <w:szCs w:val="20"/>
        </w:rPr>
        <w:t>programação inteira e por restrições</w:t>
      </w:r>
      <w:r>
        <w:rPr>
          <w:rFonts w:eastAsia="Arial" w:cs="Arial"/>
          <w:sz w:val="20"/>
          <w:szCs w:val="20"/>
        </w:rPr>
        <w:t xml:space="preserve"> (MAC/AC-3 manual, OR-Tools ILP/CP-SAT e SWI-Prolog CLP(FD)), </w:t>
      </w:r>
      <w:r>
        <w:rPr>
          <w:rFonts w:eastAsia="Arial" w:cs="Arial"/>
          <w:b/>
          <w:bCs/>
          <w:sz w:val="20"/>
          <w:szCs w:val="20"/>
        </w:rPr>
        <w:t>programação dinâmica</w:t>
      </w:r>
      <w:r>
        <w:rPr>
          <w:rFonts w:eastAsia="Arial" w:cs="Arial"/>
          <w:sz w:val="20"/>
          <w:szCs w:val="20"/>
        </w:rPr>
        <w:t xml:space="preserve"> e </w:t>
      </w:r>
      <w:r>
        <w:rPr>
          <w:rFonts w:eastAsia="Arial" w:cs="Arial"/>
          <w:b/>
          <w:bCs/>
          <w:sz w:val="20"/>
          <w:szCs w:val="20"/>
        </w:rPr>
        <w:t>extensões</w:t>
      </w:r>
      <w:r>
        <w:rPr>
          <w:rFonts w:eastAsia="Arial" w:cs="Arial"/>
          <w:sz w:val="20"/>
          <w:szCs w:val="20"/>
        </w:rPr>
        <w:t xml:space="preserve"> (coloração de guardas e alcance alargado D).</w:t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1. Descrição do Problema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Dada uma partição Π de um rectângulo em sub-retângulos, um guarda colocado no vértice </w:t>
      </w:r>
      <w:r>
        <w:rPr>
          <w:rFonts w:eastAsia="Arial" w:cs="Arial"/>
          <w:i/>
          <w:iCs/>
          <w:sz w:val="20"/>
          <w:szCs w:val="20"/>
        </w:rPr>
        <w:t>v</w:t>
      </w:r>
      <w:r>
        <w:rPr>
          <w:rFonts w:eastAsia="Arial" w:cs="Arial"/>
          <w:sz w:val="20"/>
          <w:szCs w:val="20"/>
        </w:rPr>
        <w:t xml:space="preserve"> vigia todos os retângulos que têm </w:t>
      </w:r>
      <w:r>
        <w:rPr>
          <w:rFonts w:eastAsia="Arial" w:cs="Arial"/>
          <w:i/>
          <w:iCs/>
          <w:sz w:val="20"/>
          <w:szCs w:val="20"/>
        </w:rPr>
        <w:t>v</w:t>
      </w:r>
      <w:r>
        <w:rPr>
          <w:rFonts w:eastAsia="Arial" w:cs="Arial"/>
          <w:sz w:val="20"/>
          <w:szCs w:val="20"/>
        </w:rPr>
        <w:t xml:space="preserve"> como canto. O objectivo é encontrar um conjunto de vértices de cardinalidade mínima que garanta a cobertura de Π′ ⊆ Π. O problema admite </w:t>
      </w:r>
      <w:r>
        <w:rPr>
          <w:rFonts w:eastAsia="Arial" w:cs="Arial"/>
          <w:b/>
          <w:bCs/>
          <w:sz w:val="20"/>
          <w:szCs w:val="20"/>
        </w:rPr>
        <w:t>cobertura total</w:t>
      </w:r>
      <w:r>
        <w:rPr>
          <w:rFonts w:eastAsia="Arial" w:cs="Arial"/>
          <w:sz w:val="20"/>
          <w:szCs w:val="20"/>
        </w:rPr>
        <w:t xml:space="preserve"> (Π′ = Π) e </w:t>
      </w:r>
      <w:r>
        <w:rPr>
          <w:rFonts w:eastAsia="Arial" w:cs="Arial"/>
          <w:b/>
          <w:bCs/>
          <w:sz w:val="20"/>
          <w:szCs w:val="20"/>
        </w:rPr>
        <w:t>cobertura parcial</w:t>
      </w:r>
      <w:r>
        <w:rPr>
          <w:rFonts w:eastAsia="Arial" w:cs="Arial"/>
          <w:sz w:val="20"/>
          <w:szCs w:val="20"/>
        </w:rPr>
        <w:t xml:space="preserve"> (Π′ ⊂ Π). O grafo de incidência bipartido G = (V∪R, E) representa o problema; </w:t>
      </w:r>
      <w:r>
        <w:rPr>
          <w:rFonts w:eastAsia="Arial" w:cs="Arial"/>
          <w:b/>
          <w:bCs/>
          <w:sz w:val="20"/>
          <w:szCs w:val="20"/>
        </w:rPr>
        <w:t>vertex_to_rects[v]</w:t>
      </w:r>
      <w:r>
        <w:rPr>
          <w:rFonts w:eastAsia="Arial" w:cs="Arial"/>
          <w:sz w:val="20"/>
          <w:szCs w:val="20"/>
        </w:rPr>
        <w:t xml:space="preserve"> e </w:t>
      </w:r>
      <w:r>
        <w:rPr>
          <w:rFonts w:eastAsia="Arial" w:cs="Arial"/>
          <w:b/>
          <w:bCs/>
          <w:sz w:val="20"/>
          <w:szCs w:val="20"/>
        </w:rPr>
        <w:t>rect_to_verts[r]</w:t>
      </w:r>
      <w:r>
        <w:rPr>
          <w:rFonts w:eastAsia="Arial" w:cs="Arial"/>
          <w:sz w:val="20"/>
          <w:szCs w:val="20"/>
        </w:rPr>
        <w:t xml:space="preserve"> são as estruturas centrais, comuns a todos os módulos.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1.1 Instâncias de Teste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701"/>
        <w:gridCol w:w="900"/>
        <w:gridCol w:w="1199"/>
        <w:gridCol w:w="3427"/>
      </w:tblGrid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Inst.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Rects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Vértices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 de Partição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inst_grid.txt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4–20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9–30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Grelhas regulares n×m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inst_small.txt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6–10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12–20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Irregulares pequenas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inst_1d.txt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2–9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4–11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Partições lineares (1D)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inst_medium.txt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10–24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18–35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Irregulares médias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inst_large.txt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28–63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42–90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Irregulares grandes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inst_adversarial.txt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6–20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14–30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Instâncias adversariais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inst_original.txt</w:t>
            </w:r>
          </w:p>
        </w:tc>
        <w:tc>
          <w:tcPr>
            <w:tcW w:w="7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11–13</w:t>
            </w:r>
          </w:p>
        </w:tc>
        <w:tc>
          <w:tcPr>
            <w:tcW w:w="34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Instância das aulas práticas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1 — Conjuntos de instâncias (7 ficheiros, 53 instâncias total).</w:t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</w:r>
    </w:p>
    <w:p>
      <w:pPr>
        <w:pStyle w:val="Heading1"/>
        <w:spacing w:before="280" w:after="120"/>
        <w:rPr/>
      </w:pPr>
      <w:r>
        <w:rPr/>
      </w:r>
    </w:p>
    <w:p>
      <w:pPr>
        <w:pStyle w:val="Heading1"/>
        <w:spacing w:before="280" w:after="120"/>
        <w:rPr/>
      </w:pPr>
      <w:r>
        <w:rPr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2. Modelo Matemático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O problema pertence à família </w:t>
      </w:r>
      <w:r>
        <w:rPr>
          <w:rFonts w:eastAsia="Arial" w:cs="Arial"/>
          <w:b/>
          <w:bCs/>
          <w:sz w:val="20"/>
          <w:szCs w:val="20"/>
        </w:rPr>
        <w:t>Set Cover</w:t>
      </w:r>
      <w:r>
        <w:rPr>
          <w:rFonts w:eastAsia="Arial" w:cs="Arial"/>
          <w:sz w:val="20"/>
          <w:szCs w:val="20"/>
        </w:rPr>
        <w:t xml:space="preserve"> (NP-difícil). A formulação exacta como Programação Inteira Linear (ILP) é: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fill="EEF4FB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Variáveis: </w:t>
            </w:r>
            <w:r>
              <w:rPr>
                <w:rFonts w:eastAsia="Arial" w:cs="Arial"/>
                <w:sz w:val="20"/>
                <w:szCs w:val="20"/>
              </w:rPr>
              <w:t>xv ∈ {0,1} para cada vértice v ∈ V</w:t>
            </w:r>
          </w:p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Minimizar: </w:t>
            </w:r>
            <w:r>
              <w:rPr>
                <w:rFonts w:eastAsia="Arial" w:cs="Arial"/>
                <w:sz w:val="20"/>
                <w:szCs w:val="20"/>
              </w:rPr>
              <w:t>Σ xv  (v ∈ V)</w:t>
            </w:r>
          </w:p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Sujeito a: </w:t>
            </w:r>
            <w:r>
              <w:rPr>
                <w:rFonts w:eastAsia="Arial" w:cs="Arial"/>
                <w:sz w:val="20"/>
                <w:szCs w:val="20"/>
              </w:rPr>
              <w:t>Σ xv ≥ 1  ∀ r ∈ Π′  (soma sobre os 4 cantos de r)</w:t>
            </w:r>
          </w:p>
          <w:p>
            <w:pPr>
              <w:pStyle w:val="Normal"/>
              <w:widowControl w:val="false"/>
              <w:spacing w:before="0" w:after="10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              </w:t>
            </w:r>
            <w:r>
              <w:rPr>
                <w:rFonts w:eastAsia="Arial" w:cs="Arial"/>
                <w:sz w:val="20"/>
                <w:szCs w:val="20"/>
              </w:rPr>
              <w:t>xv ∈ {0,1}  (integralidade)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2.1 Relaxação LP como Lower Bound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A </w:t>
      </w:r>
      <w:r>
        <w:rPr>
          <w:rFonts w:eastAsia="Arial" w:cs="Arial"/>
          <w:b/>
          <w:bCs/>
          <w:sz w:val="20"/>
          <w:szCs w:val="20"/>
        </w:rPr>
        <w:t>relaxação linear (LP)</w:t>
      </w:r>
      <w:r>
        <w:rPr>
          <w:rFonts w:eastAsia="Arial" w:cs="Arial"/>
          <w:sz w:val="20"/>
          <w:szCs w:val="20"/>
        </w:rPr>
        <w:t xml:space="preserve"> — substituir xv ∈ {0,1} por 0 ≤ xv ≤ 1 — fornece um </w:t>
      </w:r>
      <w:r>
        <w:rPr>
          <w:rFonts w:eastAsia="Arial" w:cs="Arial"/>
          <w:b/>
          <w:bCs/>
          <w:sz w:val="20"/>
          <w:szCs w:val="20"/>
        </w:rPr>
        <w:t>lower bound</w:t>
      </w:r>
      <w:r>
        <w:rPr>
          <w:rFonts w:eastAsia="Arial" w:cs="Arial"/>
          <w:sz w:val="20"/>
          <w:szCs w:val="20"/>
        </w:rPr>
        <w:t xml:space="preserve"> para o óptimo inteiro. É usada de duas formas: (1) pelo SCIP, que resolve o LP na raiz da árvore de branch-and-bound antes de impor integralidade; (2) no MAC+AC-3, o método </w:t>
      </w:r>
      <w:r>
        <w:rPr>
          <w:rFonts w:eastAsia="Arial" w:cs="Arial"/>
          <w:b/>
          <w:bCs/>
          <w:sz w:val="20"/>
          <w:szCs w:val="20"/>
        </w:rPr>
        <w:t>_lower_bound()</w:t>
      </w:r>
      <w:r>
        <w:rPr>
          <w:rFonts w:eastAsia="Arial" w:cs="Arial"/>
          <w:sz w:val="20"/>
          <w:szCs w:val="20"/>
        </w:rPr>
        <w:t xml:space="preserve"> implementa um bound fraccionário inspirado no LP: lb = ceil(|restrições insatisfeitas| / cobertura_máx), onde cobertura_máx é o número máximo de restrições que qualquer variável livre pode satisfazer simultaneamente.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/>
      </w:pPr>
      <w:r>
        <w:rPr/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2.2 Garantia Teórica vs Resultados Práticos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O greedy de cobertura máxima tem garantia de aproximação H(4) ≈ ln4+1 ≈ 2.08. Na prática, os gaps observados são muito inferiores ao pior caso teórico: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2000"/>
        <w:gridCol w:w="1999"/>
        <w:gridCol w:w="2527"/>
      </w:tblGrid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Gap MaxCov (real)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Garantia H(4)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% do máximo teórico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inst_small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+0.40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×2.08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~19%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inst_1d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+0.60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×2.08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~29%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inst_grid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×2.08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0%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inst_original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+0.75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×2.08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~36%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inst_medium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+0.30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×2.08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~14%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inst_large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+1.40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×2.08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~67%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inst_adversarial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+0.38</w:t>
            </w:r>
          </w:p>
        </w:tc>
        <w:tc>
          <w:tcPr>
            <w:tcW w:w="1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×2.08</w:t>
            </w:r>
          </w:p>
        </w:tc>
        <w:tc>
          <w:tcPr>
            <w:tcW w:w="2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~18%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2 — Gap real do Greedy MaxCov vs garantia teórica H(4).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1E7A4A"/>
              <w:left w:val="single" w:sz="8" w:space="0" w:color="1E7A4A"/>
              <w:bottom w:val="single" w:sz="8" w:space="0" w:color="1E7A4A"/>
              <w:right w:val="single" w:sz="8" w:space="0" w:color="1E7A4A"/>
            </w:tcBorders>
            <w:shd w:fill="EAFAF1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Na prática, o Greedy MaxCov opera muito abaixo do pior caso teórico. </w:t>
            </w:r>
            <w:r>
              <w:rPr>
                <w:rFonts w:eastAsia="Arial" w:cs="Arial"/>
                <w:sz w:val="20"/>
                <w:szCs w:val="20"/>
              </w:rPr>
              <w:t>Apenas inst_large se aproxima de 67% do máximo, esperado para instâncias densas e irregulares.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3. Estratégias Greedy  (greedy.py)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Três estratégias greedy foram implementadas, todas suportando cobertura total e parcial via o parâmetro target_rects.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3.1 Greedy de Cobertura Máxima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Selecciona iterativamente o vértice que cobre o maior número de retângulos ainda não cobertos. Complexidade: O(n·|candidates|) por iteração. Gap real: 0.00–1.40 conforme a instância.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uncovered &lt;- PI'  ;  enquanto uncovered != vazio: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v* &lt;- argmax { |N(v) ∩ uncovered| }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guards.add(v*)  ;  uncovered -= N(v*)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3.2 Greedy por Grau Estático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Ordena vértices por grau total </w:t>
      </w:r>
      <w:r>
        <w:rPr>
          <w:rFonts w:eastAsia="Arial" w:cs="Arial"/>
          <w:b/>
          <w:bCs/>
          <w:sz w:val="20"/>
          <w:szCs w:val="20"/>
        </w:rPr>
        <w:t>uma única vez</w:t>
      </w:r>
      <w:r>
        <w:rPr>
          <w:rFonts w:eastAsia="Arial" w:cs="Arial"/>
          <w:sz w:val="20"/>
          <w:szCs w:val="20"/>
        </w:rPr>
        <w:t xml:space="preserve"> no início — O(|V| log|V|). Não actualiza prioridades. </w:t>
      </w:r>
      <w:r>
        <w:rPr>
          <w:rFonts w:eastAsia="Arial" w:cs="Arial"/>
          <w:b/>
          <w:bCs/>
          <w:sz w:val="20"/>
          <w:szCs w:val="20"/>
        </w:rPr>
        <w:t>Inadequado para uso prático</w:t>
      </w:r>
      <w:r>
        <w:rPr>
          <w:rFonts w:eastAsia="Arial" w:cs="Arial"/>
          <w:sz w:val="20"/>
          <w:szCs w:val="20"/>
        </w:rPr>
        <w:t>: gap +4.60 em inst_1d e +18.60 em inst_large.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3.3 Greedy Aleatório com 30 Reinícios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Executa 30 vezes o MaxCov com desempate aleatório (seed configurável); devolve a melhor solução. É o método greedy mais robusto mas </w:t>
      </w:r>
      <w:r>
        <w:rPr>
          <w:rFonts w:eastAsia="Arial" w:cs="Arial"/>
          <w:b/>
          <w:bCs/>
          <w:sz w:val="20"/>
          <w:szCs w:val="20"/>
        </w:rPr>
        <w:t>não é sempre óptimo</w:t>
      </w:r>
      <w:r>
        <w:rPr>
          <w:rFonts w:eastAsia="Arial" w:cs="Arial"/>
          <w:sz w:val="20"/>
          <w:szCs w:val="20"/>
        </w:rPr>
        <w:t>: gap=+0.20 em inst_large e +0.12 em inst_adversarial.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</w:t>
      </w:r>
      <w:r>
        <w:rPr>
          <w:rFonts w:eastAsia="Arial" w:cs="Arial" w:ascii="Arial" w:hAnsi="Arial"/>
          <w:b/>
          <w:bCs/>
          <w:color w:val="2E6DA4"/>
          <w:sz w:val="24"/>
          <w:szCs w:val="24"/>
        </w:rPr>
        <w:t>4</w:t>
      </w:r>
      <w:r>
        <w:rPr>
          <w:rFonts w:eastAsia="Arial" w:cs="Arial" w:ascii="Arial" w:hAnsi="Arial"/>
          <w:b/>
          <w:bCs/>
          <w:color w:val="2E6DA4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2E6DA4"/>
          <w:sz w:val="24"/>
          <w:szCs w:val="24"/>
        </w:rPr>
        <w:t>Comparação dos gaps médios.</w:t>
      </w:r>
    </w:p>
    <w:tbl>
      <w:tblPr>
        <w:tblW w:w="91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899"/>
        <w:gridCol w:w="900"/>
        <w:gridCol w:w="900"/>
        <w:gridCol w:w="901"/>
        <w:gridCol w:w="900"/>
        <w:gridCol w:w="900"/>
        <w:gridCol w:w="899"/>
        <w:gridCol w:w="1127"/>
      </w:tblGrid>
      <w:tr>
        <w:trPr/>
        <w:tc>
          <w:tcPr>
            <w:tcW w:w="1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Estratégia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G.small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G.1d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G.grid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G.orig.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G.med.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G.large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G.adv.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</w:t>
            </w:r>
          </w:p>
        </w:tc>
      </w:tr>
      <w:tr>
        <w:trPr/>
        <w:tc>
          <w:tcPr>
            <w:tcW w:w="1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MaxCov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+0.40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+0.60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+0.75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+0.30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+1.40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+0.38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</w:tr>
      <w:tr>
        <w:trPr/>
        <w:tc>
          <w:tcPr>
            <w:tcW w:w="1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Grau Est.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+0.60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+4.60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+2.17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+1.75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+3.30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+18.60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+5.25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</w:tr>
      <w:tr>
        <w:trPr/>
        <w:tc>
          <w:tcPr>
            <w:tcW w:w="1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Aleat.×30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9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+0.20</w:t>
            </w:r>
          </w:p>
        </w:tc>
        <w:tc>
          <w:tcPr>
            <w:tcW w:w="8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+0.12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0.6–15.5s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 xml:space="preserve">Tabela 3 — Gap médio real (10 runs).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30"/>
          <w:szCs w:val="30"/>
        </w:rPr>
      </w:pPr>
      <w:r>
        <w:rPr>
          <w:rFonts w:eastAsia="Arial" w:cs="Arial" w:ascii="Arial" w:hAnsi="Arial"/>
          <w:b/>
          <w:bCs/>
          <w:color w:val="1A3A5C"/>
          <w:sz w:val="30"/>
          <w:szCs w:val="30"/>
        </w:rPr>
        <w:t>4. Programação Inteira e por Restrições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6"/>
          <w:szCs w:val="26"/>
        </w:rPr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4.1 ILP com OR-Tools/SCIP  (Ortools.py)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Modelo ILP exacto via </w:t>
      </w:r>
      <w:r>
        <w:rPr>
          <w:rFonts w:eastAsia="Arial" w:cs="Arial"/>
          <w:b/>
          <w:bCs/>
          <w:sz w:val="22"/>
          <w:szCs w:val="22"/>
        </w:rPr>
        <w:t>pywraplp/SCIP</w:t>
      </w:r>
      <w:r>
        <w:rPr>
          <w:rFonts w:eastAsia="Arial" w:cs="Arial"/>
          <w:sz w:val="22"/>
          <w:szCs w:val="22"/>
        </w:rPr>
        <w:t xml:space="preserve">: para cada r∈Π′ é criada a restrição sum(x[v] for v in corners(r)) &gt;= 1. Inclui branch-and-bound com relaxação LP na raiz </w:t>
      </w:r>
      <w:r>
        <w:rPr>
          <w:rFonts w:eastAsia="Arial" w:cs="Arial"/>
          <w:b/>
          <w:bCs/>
          <w:sz w:val="22"/>
          <w:szCs w:val="22"/>
        </w:rPr>
        <w:t>(</w:t>
      </w:r>
      <w:r>
        <w:rPr>
          <w:rFonts w:eastAsia="Arial" w:cs="Arial"/>
          <w:b/>
          <w:bCs/>
          <w:sz w:val="22"/>
          <w:szCs w:val="22"/>
        </w:rPr>
        <w:t>ver na Secção 2.1)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6"/>
          <w:szCs w:val="26"/>
        </w:rPr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4.2 CP-SAT com OR-Tools  (Ortools.py)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Modelo equivalente com </w:t>
      </w:r>
      <w:r>
        <w:rPr>
          <w:rFonts w:eastAsia="Arial" w:cs="Arial"/>
          <w:b/>
          <w:bCs/>
          <w:sz w:val="22"/>
          <w:szCs w:val="22"/>
        </w:rPr>
        <w:t>BoolVar</w:t>
      </w:r>
      <w:r>
        <w:rPr>
          <w:rFonts w:eastAsia="Arial" w:cs="Arial"/>
          <w:sz w:val="22"/>
          <w:szCs w:val="22"/>
        </w:rPr>
        <w:t xml:space="preserve"> e </w:t>
      </w:r>
      <w:r>
        <w:rPr>
          <w:rFonts w:eastAsia="Arial" w:cs="Arial"/>
          <w:b/>
          <w:bCs/>
          <w:sz w:val="22"/>
          <w:szCs w:val="22"/>
        </w:rPr>
        <w:t>AddBoolOr</w:t>
      </w:r>
      <w:r>
        <w:rPr>
          <w:rFonts w:eastAsia="Arial" w:cs="Arial"/>
          <w:sz w:val="22"/>
          <w:szCs w:val="22"/>
        </w:rPr>
        <w:t xml:space="preserve">. O CP-SAT usa propagação de restrições internamente (VSIDS). Os dois solvers </w:t>
      </w:r>
      <w:r>
        <w:rPr>
          <w:rFonts w:eastAsia="Arial" w:cs="Arial"/>
          <w:sz w:val="22"/>
          <w:szCs w:val="22"/>
        </w:rPr>
        <w:t>concordam sempre</w:t>
      </w:r>
      <w:r>
        <w:rPr>
          <w:rFonts w:eastAsia="Arial" w:cs="Arial"/>
          <w:sz w:val="22"/>
          <w:szCs w:val="22"/>
        </w:rPr>
        <w:t xml:space="preserve"> no </w:t>
      </w:r>
      <w:r>
        <w:rPr>
          <w:rFonts w:eastAsia="Arial" w:cs="Arial"/>
          <w:sz w:val="22"/>
          <w:szCs w:val="22"/>
        </w:rPr>
        <w:t xml:space="preserve">mesmo </w:t>
      </w:r>
      <w:r>
        <w:rPr>
          <w:rFonts w:eastAsia="Arial" w:cs="Arial"/>
          <w:sz w:val="22"/>
          <w:szCs w:val="22"/>
        </w:rPr>
        <w:t>número de guardas.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6"/>
          <w:szCs w:val="26"/>
        </w:rPr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 xml:space="preserve">4.3 Comparação SCIP vs CP-SAT 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1399"/>
        <w:gridCol w:w="1601"/>
        <w:gridCol w:w="3626"/>
      </w:tblGrid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SCIP (ms)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CP-SAT (ms)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Ratio</w:t>
            </w:r>
          </w:p>
        </w:tc>
      </w:tr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inst_small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56.7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131.6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×2.3</w:t>
            </w:r>
          </w:p>
        </w:tc>
      </w:tr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inst_1d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8.3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×1.9</w:t>
            </w:r>
          </w:p>
        </w:tc>
      </w:tr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inst_grid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×1.7</w:t>
            </w:r>
          </w:p>
        </w:tc>
      </w:tr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inst_original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9.9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16.4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×1.7</w:t>
            </w:r>
          </w:p>
        </w:tc>
      </w:tr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inst_medium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20.1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92.0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×4.6</w:t>
            </w:r>
          </w:p>
        </w:tc>
      </w:tr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inst_large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12.9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22.3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×1.7</w:t>
            </w:r>
          </w:p>
        </w:tc>
      </w:tr>
      <w:tr>
        <w:trPr/>
        <w:tc>
          <w:tcPr>
            <w:tcW w:w="2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inst_adversarial</w:t>
            </w:r>
          </w:p>
        </w:tc>
        <w:tc>
          <w:tcPr>
            <w:tcW w:w="1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8.1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16.4</w:t>
            </w:r>
          </w:p>
        </w:tc>
        <w:tc>
          <w:tcPr>
            <w:tcW w:w="3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×2.0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5A6475"/>
          <w:sz w:val="18"/>
          <w:szCs w:val="18"/>
        </w:rPr>
        <w:t xml:space="preserve">Tabela 4 — </w:t>
      </w:r>
      <w:r>
        <w:rPr>
          <w:rFonts w:eastAsia="Arial" w:cs="Arial"/>
          <w:i/>
          <w:iCs/>
          <w:color w:val="5A6475"/>
          <w:sz w:val="18"/>
          <w:szCs w:val="18"/>
        </w:rPr>
        <w:t>SCIP muito mais  rápido que CP-SAT</w:t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fill="EEF4FB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 SCIP é consistentemente mais rápido que o CP-SAT</w:t>
            </w:r>
            <w:r>
              <w:rPr>
                <w:rFonts w:eastAsia="Arial" w:cs="Arial"/>
                <w:sz w:val="20"/>
                <w:szCs w:val="20"/>
              </w:rPr>
              <w:t xml:space="preserve"> nas instâncias testadas. O CP-SAT tem overhead de inicialização do motor interno que domina nos problemas pequenos (~131ms em inst_small vs 56.7ms do SCIP). Para inst_medium, o SCIP é ×4.6 mais rápido.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8"/>
          <w:szCs w:val="28"/>
        </w:rPr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4.4 MAC + AC-3 Manual  (mac_ac3.py)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Implementação manual de backtracking com </w:t>
      </w:r>
      <w:r>
        <w:rPr>
          <w:rFonts w:eastAsia="Arial" w:cs="Arial"/>
          <w:b/>
          <w:bCs/>
          <w:sz w:val="22"/>
          <w:szCs w:val="22"/>
        </w:rPr>
        <w:t>MAC (Maintaining Arc Consistency)</w:t>
      </w:r>
      <w:r>
        <w:rPr>
          <w:rFonts w:eastAsia="Arial" w:cs="Arial"/>
          <w:sz w:val="22"/>
          <w:szCs w:val="22"/>
        </w:rPr>
        <w:t>, sem uso de qualquer módulo externo de programação por restrições. As restrições são n-árias (aridade 4): se todos os cantos menos um de um retângulo estão fixados a 0, o último é forçado a 1 (</w:t>
      </w:r>
      <w:r>
        <w:rPr>
          <w:rFonts w:eastAsia="Arial" w:cs="Arial"/>
          <w:b/>
          <w:bCs/>
          <w:sz w:val="22"/>
          <w:szCs w:val="22"/>
        </w:rPr>
        <w:t>forced-one propagation</w:t>
      </w:r>
      <w:r>
        <w:rPr>
          <w:rFonts w:eastAsia="Arial" w:cs="Arial"/>
          <w:sz w:val="22"/>
          <w:szCs w:val="22"/>
        </w:rPr>
        <w:t>).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6227"/>
      </w:tblGrid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2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Classe CSP</w:t>
            </w:r>
          </w:p>
        </w:tc>
        <w:tc>
          <w:tcPr>
            <w:tcW w:w="62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Variáveis x[v]∈{0,1}; restrições n-árias; mapeamento var↔restrição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ac3()</w:t>
            </w:r>
          </w:p>
        </w:tc>
        <w:tc>
          <w:tcPr>
            <w:tcW w:w="62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Fila de restrições; forced-one; retorna False se wipe-out detectado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select_variable_mrv()</w:t>
            </w:r>
          </w:p>
        </w:tc>
        <w:tc>
          <w:tcPr>
            <w:tcW w:w="62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MRV (menor domínio) com desempate por grau (mais restrições)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Classe Solver</w:t>
            </w:r>
          </w:p>
        </w:tc>
        <w:tc>
          <w:tcPr>
            <w:tcW w:w="62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Branch-and-bound; val=0 primeiro; poda por lower bound LP (Sec. 2.1)</w:t>
            </w:r>
          </w:p>
        </w:tc>
      </w:tr>
      <w:tr>
        <w:trPr/>
        <w:tc>
          <w:tcPr>
            <w:tcW w:w="2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_lower_bound()</w:t>
            </w:r>
          </w:p>
        </w:tc>
        <w:tc>
          <w:tcPr>
            <w:tcW w:w="62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ceil(|rests.insat.| / cob_max) — bound fraccionário inspirado no LP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5 — Componentes do solver MAC+AC-3.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10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400"/>
        <w:gridCol w:w="1200"/>
        <w:gridCol w:w="1801"/>
        <w:gridCol w:w="3326"/>
      </w:tblGrid>
      <w:tr>
        <w:trPr/>
        <w:tc>
          <w:tcPr>
            <w:tcW w:w="2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Guardas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médio</w:t>
            </w:r>
          </w:p>
        </w:tc>
        <w:tc>
          <w:tcPr>
            <w:tcW w:w="33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>
        <w:trPr/>
        <w:tc>
          <w:tcPr>
            <w:tcW w:w="2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inst_small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67ms</w:t>
            </w:r>
          </w:p>
        </w:tc>
        <w:tc>
          <w:tcPr>
            <w:tcW w:w="33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Todas as instâncias terminaram</w:t>
            </w:r>
          </w:p>
        </w:tc>
      </w:tr>
      <w:tr>
        <w:trPr/>
        <w:tc>
          <w:tcPr>
            <w:tcW w:w="2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inst_1d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13896ms</w:t>
            </w:r>
          </w:p>
        </w:tc>
        <w:tc>
          <w:tcPr>
            <w:tcW w:w="33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Só inst. fáceis; timeout nas difíceis</w:t>
            </w:r>
          </w:p>
        </w:tc>
      </w:tr>
      <w:tr>
        <w:trPr/>
        <w:tc>
          <w:tcPr>
            <w:tcW w:w="2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inst_grid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208ms</w:t>
            </w:r>
          </w:p>
        </w:tc>
        <w:tc>
          <w:tcPr>
            <w:tcW w:w="33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Todas as instâncias terminaram</w:t>
            </w:r>
          </w:p>
        </w:tc>
      </w:tr>
      <w:tr>
        <w:trPr/>
        <w:tc>
          <w:tcPr>
            <w:tcW w:w="2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inst_original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58ms</w:t>
            </w:r>
          </w:p>
        </w:tc>
        <w:tc>
          <w:tcPr>
            <w:tcW w:w="33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Todas as instâncias terminaram</w:t>
            </w:r>
          </w:p>
        </w:tc>
      </w:tr>
      <w:tr>
        <w:trPr>
          <w:trHeight w:val="400" w:hRule="atLeast"/>
        </w:trPr>
        <w:tc>
          <w:tcPr>
            <w:tcW w:w="2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inst_medium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4.56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42ms</w:t>
            </w:r>
          </w:p>
        </w:tc>
        <w:tc>
          <w:tcPr>
            <w:tcW w:w="33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Run parcial (1 run disponível)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6 — Resultados MAC+AC-3. Em inst_1d apenas instâncias fáceis terminaram.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8"/>
          <w:szCs w:val="28"/>
        </w:rPr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4.5 SWI-Prolog com CLP(FD)  (guards.pl)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Usa </w:t>
      </w:r>
      <w:r>
        <w:rPr>
          <w:rFonts w:eastAsia="Arial" w:cs="Arial"/>
          <w:b/>
          <w:bCs/>
          <w:sz w:val="22"/>
          <w:szCs w:val="22"/>
        </w:rPr>
        <w:t>clpfd</w:t>
      </w:r>
      <w:r>
        <w:rPr>
          <w:rFonts w:eastAsia="Arial" w:cs="Arial"/>
          <w:sz w:val="22"/>
          <w:szCs w:val="22"/>
        </w:rPr>
        <w:t>. O predicado solve/4 instancia Guards (0/1) e minimiza via labeling([min(Cost), ff, bisect]). A cobertura usa sum(CornerVars, #&gt;=, 1). O solve_partial/5 aceita índices alvo. O solve_file/1 carrega ficheiros .pl gerados pelo Ortools.py.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:- use_module(library(clpfd)).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solve(Rects, NV, Guards, Cost) :-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length(Guards, NV), Guards ins 0..1,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maplist(coverage_constraint(Guards), Rects),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sum(Guards, #=, Cost),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labeling([min(Cost), ff, bisect], Guards).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1299"/>
        <w:gridCol w:w="1101"/>
        <w:gridCol w:w="1599"/>
        <w:gridCol w:w="1400"/>
        <w:gridCol w:w="1127"/>
      </w:tblGrid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Guardas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médio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Inst. OK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Qualidade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inst_small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~16ms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30/80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Óptimo = CP-SAT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inst_1d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~1387ms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12/40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Timeout selectivo (como MAC)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inst_grid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~98ms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18/48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Óptimo = CP-SAT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inst_original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~15ms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8/24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Óptimo = CP-SAT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inst_medium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4.56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~132ms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18/20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Óptimo = CP-SAT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inst_adversarial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4.33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~67ms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12/16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Óptimo = CP-SAT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inst_large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4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0/5</w:t>
            </w:r>
          </w:p>
        </w:tc>
        <w:tc>
          <w:tcPr>
            <w:tcW w:w="11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SWI-Prolog não disponível na máquina de testes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7 — Resultados reais do Prolog CLP(FD).</w:t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fill="FDF2F2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Nota sobre instâncias OK: </w:t>
            </w:r>
            <w:r>
              <w:rPr>
                <w:rFonts w:eastAsia="Arial" w:cs="Arial"/>
                <w:sz w:val="20"/>
                <w:szCs w:val="20"/>
              </w:rPr>
              <w:t>o Prolog não correu em alguns runs por problema de PATH do executável SWI-Prolog (Prolog_status='SWI-Prolog não instalado' nos CSVs de 1727–1744). Nos runs onde correu, os resultados são sempre óptimos (gap=0.00) e competitivos com o CP-SAT.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5. Programação Dinâmica  (dp_guards.py)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Três variantes, seleccionadas automaticamente por dp_best() consoante a estrutura da partição.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5.1 DP-1D — Partições Lineares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Detectada por detect_1d() quando todos os retângulos partilham a mesma faixa. Aplica recorrência óptima O(n): dp[j] = min(dp[j-1]+1, dp[j-2]+1). Resultado real: 6.0 guardas, gap=0.00, &lt;0.1ms em inst_1d — o único método greedy/DP que resolve inst_1d sem timeout.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dp[0]=0, dp[1]=1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dp[j] = min(dp[j-1]+1, dp[j-2]+1)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5.2 DP-COL e DP-ROW — Profile DP 2D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Para partições 2D, varre fronteiras verticais (COL) ou horizontais (ROW). Estado = bitmask(guardas na fronteira j) × frozenset(rects não cobertos). Complexidade: O(K · 2^W · R).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5.3 Timeout e Limite Prático de W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fill="EEF4FB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Quando o timeout é atingido: </w:t>
            </w:r>
            <w:r>
              <w:rPr>
                <w:rFonts w:eastAsia="Arial" w:cs="Arial"/>
                <w:sz w:val="20"/>
                <w:szCs w:val="20"/>
              </w:rPr>
              <w:t>a DP devolve a melhor solução parcial encontrada, marcada com DP_status='timeout' no CSV. O valor pode ser não-óptimo.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Limite prático de W: </w:t>
            </w:r>
            <w:r>
              <w:rPr>
                <w:rFonts w:eastAsia="Arial" w:cs="Arial"/>
                <w:sz w:val="20"/>
                <w:szCs w:val="20"/>
              </w:rPr>
              <w:t>com W≤8 (256 estados), a DP termina em &lt;1ms. Para W=10–12 (1024–4096 estados), o tempo cresce para 1–10s. Para W&gt;12, o timeout (5s) activa frequentemente. Em inst_small, DP-COL reporta timeout em alguns runs apesar de devolver o resultado correcto — devido a fronteiras com muitos retângulos abertos simultaneamente.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tbl>
      <w:tblPr>
        <w:tblW w:w="10665" w:type="dxa"/>
        <w:jc w:val="left"/>
        <w:tblInd w:w="-41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20"/>
        <w:gridCol w:w="3000"/>
        <w:gridCol w:w="1995"/>
        <w:gridCol w:w="2010"/>
        <w:gridCol w:w="1440"/>
      </w:tblGrid>
      <w:tr>
        <w:trPr>
          <w:trHeight w:val="1080" w:hRule="atLeast"/>
        </w:trPr>
        <w:tc>
          <w:tcPr>
            <w:tcW w:w="222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Variante</w:t>
            </w:r>
          </w:p>
        </w:tc>
        <w:tc>
          <w:tcPr>
            <w:tcW w:w="3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Quando usada</w:t>
            </w:r>
          </w:p>
        </w:tc>
        <w:tc>
          <w:tcPr>
            <w:tcW w:w="199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Gap real</w:t>
            </w:r>
          </w:p>
        </w:tc>
        <w:tc>
          <w:tcPr>
            <w:tcW w:w="20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real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Limite W prático</w:t>
            </w:r>
          </w:p>
        </w:tc>
      </w:tr>
      <w:tr>
        <w:trPr>
          <w:trHeight w:val="405" w:hRule="atLeast"/>
        </w:trPr>
        <w:tc>
          <w:tcPr>
            <w:tcW w:w="222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DP-1D</w:t>
            </w:r>
          </w:p>
        </w:tc>
        <w:tc>
          <w:tcPr>
            <w:tcW w:w="3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Estrutura linear (detect_1d)</w:t>
            </w:r>
          </w:p>
        </w:tc>
        <w:tc>
          <w:tcPr>
            <w:tcW w:w="199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 em inst_1d</w:t>
            </w:r>
          </w:p>
        </w:tc>
        <w:tc>
          <w:tcPr>
            <w:tcW w:w="20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&lt;0.1ms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N/A — O(n)</w:t>
            </w:r>
          </w:p>
        </w:tc>
      </w:tr>
      <w:tr>
        <w:trPr/>
        <w:tc>
          <w:tcPr>
            <w:tcW w:w="222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DP-COL</w:t>
            </w:r>
          </w:p>
        </w:tc>
        <w:tc>
          <w:tcPr>
            <w:tcW w:w="3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max_col ≤ max_row (default)</w:t>
            </w:r>
          </w:p>
        </w:tc>
        <w:tc>
          <w:tcPr>
            <w:tcW w:w="199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0.40 em inst_small</w:t>
            </w:r>
          </w:p>
        </w:tc>
        <w:tc>
          <w:tcPr>
            <w:tcW w:w="20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~0.3ms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W≤10</w:t>
            </w:r>
          </w:p>
        </w:tc>
      </w:tr>
      <w:tr>
        <w:trPr/>
        <w:tc>
          <w:tcPr>
            <w:tcW w:w="222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DP-ROW</w:t>
            </w:r>
          </w:p>
        </w:tc>
        <w:tc>
          <w:tcPr>
            <w:tcW w:w="3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max_row &lt; max_col</w:t>
            </w:r>
          </w:p>
        </w:tc>
        <w:tc>
          <w:tcPr>
            <w:tcW w:w="199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 em inst_medium</w:t>
            </w:r>
          </w:p>
        </w:tc>
        <w:tc>
          <w:tcPr>
            <w:tcW w:w="20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~0.4–0.8ms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W≤10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8 — Variantes da DP. DP-COL tem gap+0.40 em inst_small (estrutura não linear).</w:t>
      </w:r>
      <w:r>
        <w:br w:type="page"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6. Resultados Experimentais  (benchmark.py)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Benchmark executado 10 vezes sobre os 7 conjuntos. </w:t>
      </w:r>
      <w:r>
        <w:rPr>
          <w:rFonts w:eastAsia="Arial" w:cs="Arial"/>
          <w:sz w:val="20"/>
          <w:szCs w:val="20"/>
        </w:rPr>
        <w:t>CP-SAT</w:t>
      </w:r>
      <w:r>
        <w:rPr>
          <w:rFonts w:eastAsia="Arial" w:cs="Arial"/>
          <w:sz w:val="20"/>
          <w:szCs w:val="20"/>
        </w:rPr>
        <w:t xml:space="preserve"> = referência óptima. Valores são médias dos runs.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6.1 Tabela Completa de Resultados</w:t>
      </w:r>
    </w:p>
    <w:tbl>
      <w:tblPr>
        <w:tblW w:w="11430" w:type="dxa"/>
        <w:jc w:val="left"/>
        <w:tblInd w:w="-8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10"/>
        <w:gridCol w:w="1200"/>
        <w:gridCol w:w="1290"/>
        <w:gridCol w:w="1260"/>
        <w:gridCol w:w="1065"/>
        <w:gridCol w:w="960"/>
        <w:gridCol w:w="1380"/>
        <w:gridCol w:w="1425"/>
        <w:gridCol w:w="1440"/>
      </w:tblGrid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G.MaxCov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G.Grau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G.Aleat×30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MAC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DP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SCIP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CP-SAT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Prolog</w:t>
            </w:r>
          </w:p>
        </w:tc>
      </w:tr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inst_small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 (+0.40)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3.20 (+0.60)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 (+0.00)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 (+0.00)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 (+0.40)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 (+0.00)</w:t>
            </w:r>
          </w:p>
        </w:tc>
      </w:tr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inst_1d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6.60 (+0.60)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10.60 (+4.60)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6.00 (+0.00)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5.00 (—)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6.00 (+0.00)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6.00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6.00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5.00 (—)</w:t>
            </w:r>
          </w:p>
        </w:tc>
      </w:tr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inst_grid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 (+0.00)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5.67 (+2.17)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 (+0.00)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 (+0.00)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3.50 (+0.00)</w:t>
            </w:r>
          </w:p>
        </w:tc>
      </w:tr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inst_original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3.75 (+0.75)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4.75 (+1.75)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 (+0.00)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 (+0.00)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3.00 (+0.00)</w:t>
            </w:r>
          </w:p>
        </w:tc>
      </w:tr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inst_medium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5.20 (+0.30)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8.20 (+3.30)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4.90 (+0.00)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4.56 (+0.00)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4.90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4.90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4.56 (+0.00)</w:t>
            </w:r>
          </w:p>
        </w:tc>
      </w:tr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inst_large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14.20 (+1.40)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31.40 (+18.60)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13.00 (+0.20)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12.80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12.80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141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inst_advers.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5.88 (+0.38)</w:t>
            </w:r>
          </w:p>
        </w:tc>
        <w:tc>
          <w:tcPr>
            <w:tcW w:w="129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10.75 (+5.25)</w:t>
            </w:r>
          </w:p>
        </w:tc>
        <w:tc>
          <w:tcPr>
            <w:tcW w:w="12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5.62 (+0.12)</w:t>
            </w:r>
          </w:p>
        </w:tc>
        <w:tc>
          <w:tcPr>
            <w:tcW w:w="106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5.50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25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5.50 (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+0.00)</w:t>
            </w:r>
          </w:p>
        </w:tc>
        <w:tc>
          <w:tcPr>
            <w:tcW w:w="144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4.33 (+0.00)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9 — Guardas médios (gap). MAC e Prolog em inst_1d com timeout selectivo.</w:t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6.2 Tempos de Execução — todos os 7 ficheiros</w:t>
      </w:r>
    </w:p>
    <w:tbl>
      <w:tblPr>
        <w:tblW w:w="10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9"/>
        <w:gridCol w:w="1201"/>
        <w:gridCol w:w="1499"/>
        <w:gridCol w:w="1500"/>
        <w:gridCol w:w="901"/>
        <w:gridCol w:w="1200"/>
        <w:gridCol w:w="1299"/>
        <w:gridCol w:w="927"/>
      </w:tblGrid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G.MaxCov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G.Aleat×30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MAC+AC-3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DP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SCIP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CP-SAT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Prolog CLP(FD)</w:t>
            </w:r>
          </w:p>
        </w:tc>
      </w:tr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inst_small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~603ms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~67ms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~0.4ms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~57ms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~132ms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~16ms</w:t>
            </w:r>
          </w:p>
        </w:tc>
      </w:tr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inst_1d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~2318ms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~13896ms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&lt;0.1ms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~8ms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~16ms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~1387ms</w:t>
            </w:r>
          </w:p>
        </w:tc>
      </w:tr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inst_grid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~1303ms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~209ms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~9ms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~15ms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~98ms</w:t>
            </w:r>
          </w:p>
        </w:tc>
      </w:tr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inst_original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~817ms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~58ms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~10ms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~16ms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~15ms</w:t>
            </w:r>
          </w:p>
        </w:tc>
      </w:tr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inst_medium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~2092ms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~42ms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~20ms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~92ms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~132ms</w:t>
            </w:r>
          </w:p>
        </w:tc>
      </w:tr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inst_large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~15522ms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~13ms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~22ms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inst_advers.</w:t>
            </w:r>
          </w:p>
        </w:tc>
        <w:tc>
          <w:tcPr>
            <w:tcW w:w="12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&lt;1ms</w:t>
            </w:r>
          </w:p>
        </w:tc>
        <w:tc>
          <w:tcPr>
            <w:tcW w:w="1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~2507ms</w:t>
            </w:r>
          </w:p>
        </w:tc>
        <w:tc>
          <w:tcPr>
            <w:tcW w:w="1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~8ms</w:t>
            </w:r>
          </w:p>
        </w:tc>
        <w:tc>
          <w:tcPr>
            <w:tcW w:w="12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~16ms</w:t>
            </w:r>
          </w:p>
        </w:tc>
        <w:tc>
          <w:tcPr>
            <w:tcW w:w="9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~67ms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 xml:space="preserve">Tabela 10 — Tempos de execução médios reais (ms). </w:t>
      </w:r>
    </w:p>
    <w:p>
      <w:pPr>
        <w:pStyle w:val="Normal"/>
        <w:spacing w:before="0" w:after="120"/>
        <w:jc w:val="left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/>
          <w:b/>
          <w:bCs/>
          <w:color w:val="2E6DA4"/>
          <w:sz w:val="24"/>
          <w:szCs w:val="24"/>
        </w:rPr>
        <w:t>6.3 Análise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Greedy MaxCov</w:t>
      </w:r>
      <w:r>
        <w:rPr>
          <w:rFonts w:eastAsia="Arial" w:cs="Arial"/>
          <w:sz w:val="20"/>
          <w:szCs w:val="20"/>
        </w:rPr>
        <w:t xml:space="preserve">: gap 0.00–1.40, &lt;1ms — equilíbrio velocidade/qualidade. 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Greedy Grau</w:t>
      </w:r>
      <w:r>
        <w:rPr>
          <w:rFonts w:eastAsia="Arial" w:cs="Arial"/>
          <w:sz w:val="20"/>
          <w:szCs w:val="20"/>
        </w:rPr>
        <w:t xml:space="preserve">: inaceitável em large (+18.60). 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Greedy Aleat×30</w:t>
      </w:r>
      <w:r>
        <w:rPr>
          <w:rFonts w:eastAsia="Arial" w:cs="Arial"/>
          <w:sz w:val="20"/>
          <w:szCs w:val="20"/>
        </w:rPr>
        <w:t xml:space="preserve">: mais robusto mas não garantidamente óptimo (+0.20 large, +0.12 adversarial). 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MAC+AC-3</w:t>
      </w:r>
      <w:r>
        <w:rPr>
          <w:rFonts w:eastAsia="Arial" w:cs="Arial"/>
          <w:sz w:val="20"/>
          <w:szCs w:val="20"/>
        </w:rPr>
        <w:t xml:space="preserve">: sempre óptimo quando termina; 13896ms em inst_1d. 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DP-1D</w:t>
      </w:r>
      <w:r>
        <w:rPr>
          <w:rFonts w:eastAsia="Arial" w:cs="Arial"/>
          <w:sz w:val="20"/>
          <w:szCs w:val="20"/>
        </w:rPr>
        <w:t xml:space="preserve">: óptima e instantânea para lineares; DP-2D pode sofrer timeout. 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SCIP</w:t>
      </w:r>
      <w:r>
        <w:rPr>
          <w:rFonts w:eastAsia="Arial" w:cs="Arial"/>
          <w:sz w:val="20"/>
          <w:szCs w:val="20"/>
        </w:rPr>
        <w:t xml:space="preserve">: mais rápido que CP-SAT em 7/7 ficheiros. 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CP-SAT</w:t>
      </w:r>
      <w:r>
        <w:rPr>
          <w:rFonts w:eastAsia="Arial" w:cs="Arial"/>
          <w:sz w:val="20"/>
          <w:szCs w:val="20"/>
        </w:rPr>
        <w:t xml:space="preserve">: overhead de inicialização visível em instâncias pequenas (~132ms). 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b/>
          <w:bCs/>
          <w:sz w:val="20"/>
          <w:szCs w:val="20"/>
        </w:rPr>
        <w:t>Prolog CLP(FD)</w:t>
      </w:r>
      <w:r>
        <w:rPr>
          <w:rFonts w:eastAsia="Arial" w:cs="Arial"/>
          <w:sz w:val="20"/>
          <w:szCs w:val="20"/>
        </w:rPr>
        <w:t>: óptimo em todas as instâncias testadas, competitivo em velocidade.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>
          <w:trHeight w:val="390" w:hRule="atLeast"/>
        </w:trPr>
        <w:tc>
          <w:tcPr>
            <w:tcW w:w="9026" w:type="dxa"/>
            <w:tcBorders>
              <w:top w:val="single" w:sz="8" w:space="0" w:color="1E7A4A"/>
              <w:left w:val="single" w:sz="8" w:space="0" w:color="1E7A4A"/>
              <w:bottom w:val="single" w:sz="8" w:space="0" w:color="1E7A4A"/>
              <w:right w:val="single" w:sz="8" w:space="0" w:color="1E7A4A"/>
            </w:tcBorders>
            <w:shd w:fill="EAFAF1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Nenhum método greedy é sempre óptimo. </w:t>
            </w:r>
            <w:r>
              <w:rPr>
                <w:rFonts w:eastAsia="Arial" w:cs="Arial"/>
                <w:sz w:val="20"/>
                <w:szCs w:val="20"/>
              </w:rPr>
              <w:t>Para optimalidade garantida: SCIP (mais rápido em geral) ou CP-SAT. Para uso prático rápido: Greedy Aleat×30. Para partições lineares: DP-1D.</w:t>
            </w:r>
          </w:p>
        </w:tc>
      </w:tr>
    </w:tbl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7. Extensões do Problema  (extras.py)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7.1 Extensão 4a — Guardas com Cores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Dois guardas que vigiem o mesmo retângulo devem ter cores distintas. Modela-se como coloração do </w:t>
      </w:r>
      <w:r>
        <w:rPr>
          <w:rFonts w:eastAsia="Arial" w:cs="Arial"/>
          <w:b/>
          <w:bCs/>
          <w:sz w:val="20"/>
          <w:szCs w:val="20"/>
        </w:rPr>
        <w:t>grafo de conflito</w:t>
      </w:r>
      <w:r>
        <w:rPr>
          <w:rFonts w:eastAsia="Arial" w:cs="Arial"/>
          <w:sz w:val="20"/>
          <w:szCs w:val="20"/>
        </w:rPr>
        <w:t xml:space="preserve"> Gc = (Guards, Ec), onde existe aresta (gi,gj) se ambos cobrem pelo menos um retângulo em comum.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1599"/>
        <w:gridCol w:w="1801"/>
        <w:gridCol w:w="2000"/>
        <w:gridCol w:w="1626"/>
      </w:tblGrid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Algoritmo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Qualidade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Complexidade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real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DSATUR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Heurístico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≤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χ+1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O(|Guards|²)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&lt;0.1ms (todos os casos)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ILP coloração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Exacto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χ(Gc) exacto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NP-difícil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0.0–8.3ms (dados reais)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11 — Algoritmos de coloração com tempos reais.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9"/>
        <w:gridCol w:w="801"/>
        <w:gridCol w:w="1199"/>
        <w:gridCol w:w="1601"/>
        <w:gridCol w:w="1599"/>
        <w:gridCol w:w="1401"/>
        <w:gridCol w:w="1626"/>
      </w:tblGrid>
      <w:tr>
        <w:trPr/>
        <w:tc>
          <w:tcPr>
            <w:tcW w:w="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Inst.</w:t>
            </w:r>
          </w:p>
        </w:tc>
        <w:tc>
          <w:tcPr>
            <w:tcW w:w="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Rects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Guardas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Arestas conflito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Cores DSATUR</w:t>
            </w:r>
          </w:p>
        </w:tc>
        <w:tc>
          <w:tcPr>
            <w:tcW w:w="14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Cores ILP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ILP</w:t>
            </w:r>
          </w:p>
        </w:tc>
      </w:tr>
      <w:tr>
        <w:trPr/>
        <w:tc>
          <w:tcPr>
            <w:tcW w:w="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0.5ms</w:t>
            </w:r>
          </w:p>
        </w:tc>
      </w:tr>
      <w:tr>
        <w:trPr/>
        <w:tc>
          <w:tcPr>
            <w:tcW w:w="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8.3ms</w:t>
            </w:r>
          </w:p>
        </w:tc>
      </w:tr>
      <w:tr>
        <w:trPr/>
        <w:tc>
          <w:tcPr>
            <w:tcW w:w="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0.0ms</w:t>
            </w:r>
          </w:p>
        </w:tc>
      </w:tr>
      <w:tr>
        <w:trPr/>
        <w:tc>
          <w:tcPr>
            <w:tcW w:w="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1.0ms</w:t>
            </w:r>
          </w:p>
        </w:tc>
      </w:tr>
      <w:tr>
        <w:trPr/>
        <w:tc>
          <w:tcPr>
            <w:tcW w:w="7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1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6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1.5ms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12 — Coloração real (5 instâncias de inst_extensions.txt).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fill="EEF4FB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Resultado chave: </w:t>
            </w:r>
            <w:r>
              <w:rPr>
                <w:rFonts w:eastAsia="Arial" w:cs="Arial"/>
                <w:sz w:val="20"/>
                <w:szCs w:val="20"/>
              </w:rPr>
              <w:t>o número mínimo de cores é χ(Gc). DSATUR e ILP concordam sempre. 0 arestas de conflito → 1 cor; 6 arestas → 3 cores. DSATUR &lt;0.1ms, ILP 0–8.3ms.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80"/>
        <w:rPr>
          <w:rFonts w:ascii="Arial" w:hAnsi="Arial" w:eastAsia="Arial" w:cs="Arial"/>
          <w:b/>
          <w:b/>
          <w:bCs/>
          <w:color w:val="2E6DA4"/>
          <w:sz w:val="24"/>
          <w:szCs w:val="24"/>
        </w:rPr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7.2 Extensão 4b — Guardas com Alcance Alargado D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Um guarda em v cobre todos os retângulos alcançáveis em ≤ D arestas no grafo bipartido V∪R. Implementado via </w:t>
      </w:r>
      <w:r>
        <w:rPr>
          <w:rFonts w:eastAsia="Arial" w:cs="Arial"/>
          <w:b/>
          <w:bCs/>
          <w:sz w:val="20"/>
          <w:szCs w:val="20"/>
        </w:rPr>
        <w:t>BFS no grafo bipartido</w:t>
      </w:r>
      <w:r>
        <w:rPr>
          <w:rFonts w:eastAsia="Arial" w:cs="Arial"/>
          <w:sz w:val="20"/>
          <w:szCs w:val="20"/>
        </w:rPr>
        <w:t xml:space="preserve"> (coverage_at_distance). Com D=0 ou D=1 o comportamento é idêntico ao base.</w:t>
      </w:r>
    </w:p>
    <w:tbl>
      <w:tblPr>
        <w:tblW w:w="8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00"/>
        <w:gridCol w:w="2399"/>
        <w:gridCol w:w="1801"/>
        <w:gridCol w:w="3026"/>
      </w:tblGrid>
      <w:tr>
        <w:trPr/>
        <w:tc>
          <w:tcPr>
            <w:tcW w:w="8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2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Guardas médios (5 inst.)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BFS</w:t>
            </w:r>
          </w:p>
        </w:tc>
        <w:tc>
          <w:tcPr>
            <w:tcW w:w="30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Redução vs D=0</w:t>
            </w:r>
          </w:p>
        </w:tc>
      </w:tr>
      <w:tr>
        <w:trPr/>
        <w:tc>
          <w:tcPr>
            <w:tcW w:w="8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7.2 (base)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0.0–1.0ms</w:t>
            </w:r>
          </w:p>
        </w:tc>
        <w:tc>
          <w:tcPr>
            <w:tcW w:w="30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2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7.2 (igual)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1.0–1.5ms</w:t>
            </w:r>
          </w:p>
        </w:tc>
        <w:tc>
          <w:tcPr>
            <w:tcW w:w="30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0%</w:t>
            </w:r>
          </w:p>
        </w:tc>
      </w:tr>
      <w:tr>
        <w:trPr/>
        <w:tc>
          <w:tcPr>
            <w:tcW w:w="8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2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1.0–1.5ms</w:t>
            </w:r>
          </w:p>
        </w:tc>
        <w:tc>
          <w:tcPr>
            <w:tcW w:w="30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67%</w:t>
            </w:r>
          </w:p>
        </w:tc>
      </w:tr>
      <w:tr>
        <w:trPr/>
        <w:tc>
          <w:tcPr>
            <w:tcW w:w="8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0.0–2.0ms</w:t>
            </w:r>
          </w:p>
        </w:tc>
        <w:tc>
          <w:tcPr>
            <w:tcW w:w="30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86%</w:t>
            </w:r>
          </w:p>
        </w:tc>
      </w:tr>
      <w:tr>
        <w:trPr/>
        <w:tc>
          <w:tcPr>
            <w:tcW w:w="8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23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8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0.0–1.5ms</w:t>
            </w:r>
          </w:p>
        </w:tc>
        <w:tc>
          <w:tcPr>
            <w:tcW w:w="30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86%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13 — Impacto real de D (médias de 5 instâncias de inst_extensions.txt). BFS &lt;2ms em todos os casos.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1E7A4A"/>
              <w:left w:val="single" w:sz="8" w:space="0" w:color="1E7A4A"/>
              <w:bottom w:val="single" w:sz="8" w:space="0" w:color="1E7A4A"/>
              <w:right w:val="single" w:sz="8" w:space="0" w:color="1E7A4A"/>
            </w:tcBorders>
            <w:shd w:fill="EAFAF1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 tempo da BFS é sempre &lt;2ms</w:t>
            </w:r>
            <w:r>
              <w:rPr>
                <w:rFonts w:eastAsia="Arial" w:cs="Arial"/>
                <w:sz w:val="20"/>
                <w:szCs w:val="20"/>
              </w:rPr>
              <w:t>, independentemente de D. Com D≥2 a redução de guardas é muito significativa (~67–86% nas instâncias testadas).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8. Cobertura Parcial  (Π′ ⊂ Π)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0"/>
          <w:szCs w:val="20"/>
        </w:rPr>
        <w:t xml:space="preserve">Todos os algoritmos recebem o parâmetro </w:t>
      </w:r>
      <w:r>
        <w:rPr>
          <w:rFonts w:eastAsia="Arial" w:cs="Arial"/>
          <w:b/>
          <w:bCs/>
          <w:sz w:val="20"/>
          <w:szCs w:val="20"/>
        </w:rPr>
        <w:t>target_rects</w:t>
      </w:r>
      <w:r>
        <w:rPr>
          <w:rFonts w:eastAsia="Arial" w:cs="Arial"/>
          <w:sz w:val="20"/>
          <w:szCs w:val="20"/>
        </w:rPr>
        <w:t>. Com cobertura parcial (70% e 80%), todos os greedy melhoram substancialmente. Dados reais do partial_20260521_1955.csv:</w:t>
      </w:r>
    </w:p>
    <w:tbl>
      <w:tblPr>
        <w:tblW w:w="987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2000"/>
        <w:gridCol w:w="2300"/>
        <w:gridCol w:w="2000"/>
        <w:gridCol w:w="1070"/>
      </w:tblGrid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G.MaxCov</w:t>
            </w:r>
          </w:p>
        </w:tc>
        <w:tc>
          <w:tcPr>
            <w:tcW w:w="23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G.Grau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G.Aleat×30</w:t>
            </w:r>
          </w:p>
        </w:tc>
        <w:tc>
          <w:tcPr>
            <w:tcW w:w="107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ILP (ref.)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100% (total)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0.00–1.40</w:t>
            </w:r>
          </w:p>
        </w:tc>
        <w:tc>
          <w:tcPr>
            <w:tcW w:w="23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+0.60–18.60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0.00–0.20</w:t>
            </w:r>
          </w:p>
        </w:tc>
        <w:tc>
          <w:tcPr>
            <w:tcW w:w="107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ref.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80% (parcial)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+0.14</w:t>
            </w:r>
          </w:p>
        </w:tc>
        <w:tc>
          <w:tcPr>
            <w:tcW w:w="23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+1.69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07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ref. (~6.7ms)</w:t>
            </w:r>
          </w:p>
        </w:tc>
      </w:tr>
      <w:tr>
        <w:trPr/>
        <w:tc>
          <w:tcPr>
            <w:tcW w:w="25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70% (parcial)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+0.17</w:t>
            </w:r>
          </w:p>
        </w:tc>
        <w:tc>
          <w:tcPr>
            <w:tcW w:w="23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+1.41</w:t>
            </w:r>
          </w:p>
        </w:tc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</w:t>
            </w:r>
          </w:p>
        </w:tc>
        <w:tc>
          <w:tcPr>
            <w:tcW w:w="107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ref. (~6.3ms)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14 — Cobertura parcial (dados reais). Greedy Aleat×30 sempre óptimo na cobertura parcial.</w:t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9. Implementação e Arquitectura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5499"/>
        <w:gridCol w:w="1527"/>
      </w:tblGrid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Dependências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greedy.py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 estratégias greedy + verificação de solução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stdlib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mac_ac3.py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CSP manual + AC-3 + B&amp;B + lower bound LP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OR-Tools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Ortools.py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ILP(SCIP), CP-SAT, exportação .pl para Prolog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OR-Tools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dp_guards.py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DP-1D, DP-COL, DP-ROW + timeout + detect_1d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stdlib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extras.py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Grafo conflito, DSATUR, ILP coloração, BFS alcance D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OR-Tools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guards.pl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CLP(FD): solve/4, solve_partial/5, solve_file/1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SWI-Prolog</w:t>
            </w:r>
          </w:p>
        </w:tc>
      </w:tr>
      <w:tr>
        <w:trPr/>
        <w:tc>
          <w:tcPr>
            <w:tcW w:w="20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benchmark.py</w:t>
            </w:r>
          </w:p>
        </w:tc>
        <w:tc>
          <w:tcPr>
            <w:tcW w:w="54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Orquestração, CSV, MAC/Prolog em subprocess</w:t>
            </w:r>
          </w:p>
        </w:tc>
        <w:tc>
          <w:tcPr>
            <w:tcW w:w="1527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Todos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15 — Arquitectura modular do projecto.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O benchmark.py corre MAC+AC-3 em </w:t>
      </w:r>
      <w:r>
        <w:rPr>
          <w:rFonts w:eastAsia="Arial" w:cs="Arial"/>
          <w:b/>
          <w:bCs/>
          <w:sz w:val="22"/>
          <w:szCs w:val="22"/>
        </w:rPr>
        <w:t>subprocess separado com timeout 60s</w:t>
      </w:r>
      <w:r>
        <w:rPr>
          <w:rFonts w:eastAsia="Arial" w:cs="Arial"/>
          <w:sz w:val="22"/>
          <w:szCs w:val="22"/>
        </w:rPr>
        <w:t>. O Prolog é invocado via subprocess: exporta .pl temporário → chama swipl → captura output.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python benchmark.py --all           # todos os ficheiros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python benchmark.py --all --mac     # inclui MAC+AC-3</w:t>
      </w:r>
    </w:p>
    <w:p>
      <w:pPr>
        <w:pStyle w:val="Normal"/>
        <w:shd w:fill="F0F4F8" w:val="clear"/>
        <w:spacing w:before="0" w:after="80"/>
        <w:ind w:left="400" w:right="0" w:hanging="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python benchmark.py --all --partial # cobertura parcial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10. Conclusões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Este trabalho avaliou o problema de vigilância de partições retangulares com 8 métodos distintos, testados em 7 conjuntos de instâncias (10 runs, 53 instâncias).</w:t>
      </w:r>
    </w:p>
    <w:p>
      <w:pPr>
        <w:pStyle w:val="Normal"/>
        <w:spacing w:before="0" w:after="80"/>
        <w:rPr/>
      </w:pPr>
      <w:r>
        <w:rPr/>
      </w:r>
    </w:p>
    <w:tbl>
      <w:tblPr>
        <w:tblW w:w="10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0"/>
        <w:gridCol w:w="2999"/>
        <w:gridCol w:w="2101"/>
        <w:gridCol w:w="2226"/>
      </w:tblGrid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Qualidade (gap)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Velocidade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1A3A5C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Escalabilidade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Greedy MaxCov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★★★★☆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(0.00–1.40)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★★★★★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★★★★★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Greedy Grau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★★☆☆☆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(0.00–18.60)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★★★★★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★★★★★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Greedy Aleat.×30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★★★★☆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(0.00–0.20)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★★★★☆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★★★★☆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MAC + AC-3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★★★★★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(0.00 se term.)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★★☆☆☆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Prog. Dinâmica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★★★★☆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(0.00 lineares)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★★★★★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★★★☆☆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ILP/SCIP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★★★★★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(referência)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★★★★★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★★★★☆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CP-SAT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★★★★★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(referência)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★★★★☆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2F4F7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★★★★☆</w:t>
            </w:r>
          </w:p>
        </w:tc>
      </w:tr>
      <w:tr>
        <w:trPr/>
        <w:tc>
          <w:tcPr>
            <w:tcW w:w="2700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Prolog CLP(FD)</w:t>
            </w:r>
          </w:p>
        </w:tc>
        <w:tc>
          <w:tcPr>
            <w:tcW w:w="2999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★★★★★ 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(exacto)</w:t>
            </w:r>
          </w:p>
        </w:tc>
        <w:tc>
          <w:tcPr>
            <w:tcW w:w="2101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2226" w:type="dxa"/>
            <w:tcBorders>
              <w:top w:val="single" w:sz="2" w:space="0" w:color="C8D3DE"/>
              <w:left w:val="single" w:sz="2" w:space="0" w:color="C8D3DE"/>
              <w:bottom w:val="single" w:sz="2" w:space="0" w:color="C8D3DE"/>
              <w:right w:val="single" w:sz="2" w:space="0" w:color="C8D3DE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★★★☆☆</w:t>
            </w:r>
          </w:p>
        </w:tc>
      </w:tr>
    </w:tbl>
    <w:p>
      <w:pPr>
        <w:pStyle w:val="Normal"/>
        <w:spacing w:before="0" w:after="120"/>
        <w:jc w:val="center"/>
        <w:rPr>
          <w:rFonts w:ascii="Arial" w:hAnsi="Arial" w:eastAsia="Arial" w:cs="Arial"/>
          <w:i/>
          <w:i/>
          <w:iCs/>
          <w:color w:val="5A6475"/>
          <w:sz w:val="18"/>
          <w:szCs w:val="18"/>
        </w:rPr>
      </w:pPr>
      <w:r>
        <w:rPr>
          <w:rFonts w:eastAsia="Arial" w:cs="Arial"/>
          <w:i/>
          <w:iCs/>
          <w:color w:val="5A6475"/>
          <w:sz w:val="18"/>
          <w:szCs w:val="18"/>
        </w:rPr>
        <w:t>Tabela 16 — Avaliação qualitativa final (dados reais 10 runs).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jc w:val="both"/>
        <w:rPr>
          <w:rFonts w:ascii="Arial" w:hAnsi="Arial" w:eastAsia="Arial" w:cs="Arial"/>
          <w:b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 xml:space="preserve">Destaques e correcções importantes: 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 xml:space="preserve">(1) DP em inst_small tem gap +0.40 (não +0.00) — a estrutura não é linear e a DP-COL não encontra o óptimo; 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(2) MAC em inst_1d reporta 5.0 guardas por timeout selectivo, não comparável com CP-SAT=6.0;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(3) Greedy Aleat×30 não é sempre óptimo (+0.20 large, +0.12 adversarial);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(4) SCIP é mais rápido que CP-SAT em 7/7 ficheiros;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(5) Prolog CLP(FD) é óptimo quando SWI-Prolog está disponível; (6) DSATUR &lt;0.1ms, ILP coloração 0–8.3ms, BFS alcance D &lt;2ms em todos os casos.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1E7A4A"/>
              <w:left w:val="single" w:sz="8" w:space="0" w:color="1E7A4A"/>
              <w:bottom w:val="single" w:sz="8" w:space="0" w:color="1E7A4A"/>
              <w:right w:val="single" w:sz="8" w:space="0" w:color="1E7A4A"/>
            </w:tcBorders>
            <w:shd w:fill="EAFAF1" w:val="clear"/>
          </w:tcPr>
          <w:p>
            <w:pPr>
              <w:pStyle w:val="Normal"/>
              <w:widowControl w:val="false"/>
              <w:spacing w:before="0" w:after="10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Recomendação final: </w:t>
            </w:r>
            <w:r>
              <w:rPr>
                <w:rFonts w:eastAsia="Arial" w:cs="Arial"/>
                <w:sz w:val="20"/>
                <w:szCs w:val="20"/>
              </w:rPr>
              <w:t>SCIP para optimalidade com máxima velocidade; Greedy Aleat×30 para decisões rápidas (gap≈0 em 5/7 ficheiros, &lt;15.5s); DP-1D para partições lineares; Prolog CLP(FD) para instâncias médias com SWI-Prolog disponível; MAC+AC-3 para fins pedagógicos.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280" w:after="120"/>
        <w:rPr>
          <w:rFonts w:ascii="Arial" w:hAnsi="Arial" w:eastAsia="Arial" w:cs="Arial"/>
          <w:b/>
          <w:b/>
          <w:bCs/>
          <w:color w:val="1A3A5C"/>
          <w:sz w:val="28"/>
          <w:szCs w:val="28"/>
        </w:rPr>
      </w:pPr>
      <w:r>
        <w:rPr>
          <w:rFonts w:eastAsia="Arial" w:cs="Arial" w:ascii="Arial" w:hAnsi="Arial"/>
          <w:b/>
          <w:bCs/>
          <w:color w:val="1A3A5C"/>
          <w:sz w:val="28"/>
          <w:szCs w:val="28"/>
        </w:rPr>
        <w:t>Referências</w:t>
      </w:r>
    </w:p>
    <w:p>
      <w:pPr>
        <w:pStyle w:val="Normal"/>
        <w:pBdr>
          <w:bottom w:val="single" w:sz="6" w:space="1" w:color="2E6DA4"/>
        </w:pBdr>
        <w:spacing w:before="0" w:after="80"/>
        <w:rPr/>
      </w:pPr>
      <w:r>
        <w:rPr/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[1] Chvátal, V. (1979). A greedy heuristic for the set-covering problem. Mathematics of Operations Research, 4(3), 233–235.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[2] Russell, S. &amp; Norvig, P. (2021). Artificial Intelligence: A Modern Approach, 4ª ed. Pearson. (Cap. 6: CSP)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[3] OR-Tools — Google. CP-SAT and SCIP documentation. https://developers.google.com/optimization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[4] Triska, M. The Finite Domain Constraint Solver of SWI-Prolog. FLOPS 2012.</w:t>
      </w:r>
    </w:p>
    <w:p>
      <w:pPr>
        <w:pStyle w:val="Normal"/>
        <w:spacing w:before="0" w:after="1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[5] Hochbaum, D. (1997). Approximation Algorithms for NP-Hard Problems. PWS Publishing.</w:t>
      </w:r>
    </w:p>
    <w:sectPr>
      <w:type w:val="nextPage"/>
      <w:pgSz w:w="11906" w:h="16838"/>
      <w:pgMar w:left="1134" w:right="1134" w:gutter="0" w:header="0" w:top="708" w:footer="0" w:bottom="7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0"/>
      <w:szCs w:val="20"/>
      <w:lang w:val="pt-PT" w:eastAsia="zh-CN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spacing w:before="280" w:after="120"/>
      <w:outlineLvl w:val="0"/>
    </w:pPr>
    <w:rPr>
      <w:rFonts w:ascii="Arial" w:hAnsi="Arial" w:eastAsia="Arial" w:cs="Arial"/>
      <w:b/>
      <w:bCs/>
      <w:color w:val="1A3A5C"/>
      <w:sz w:val="28"/>
      <w:szCs w:val="28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200" w:after="80"/>
      <w:outlineLvl w:val="1"/>
    </w:pPr>
    <w:rPr>
      <w:rFonts w:ascii="Arial" w:hAnsi="Arial" w:eastAsia="Arial" w:cs="Arial"/>
      <w:b/>
      <w:bCs/>
      <w:color w:val="2E6DA4"/>
      <w:sz w:val="22"/>
      <w:szCs w:val="22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0"/>
      <w:szCs w:val="20"/>
      <w:lang w:val="pt-PT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0"/>
      <w:szCs w:val="20"/>
      <w:lang w:val="pt-PT" w:eastAsia="zh-CN" w:bidi="hi-IN"/>
    </w:rPr>
  </w:style>
  <w:style w:type="paragraph" w:styleId="Footnote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11</Pages>
  <Words>2528</Words>
  <Characters>14175</Characters>
  <CharactersWithSpaces>16128</CharactersWithSpaces>
  <Paragraphs>673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2026-05-27T11:12:28Z</dcterms:created>
  <dc:creator>Un-named</dc:creator>
  <dc:description/>
  <dc:language>pt-PT</dc:language>
  <cp:lastModifiedBy/>
  <dcterms:modified xsi:type="dcterms:W3CDTF">2026-05-27T13:32:04Z</dcterms:modified>
  <cp:revision>4</cp:revision>
  <dc:subject/>
  <dc:title/>
</cp:coreProperties>
</file>