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532B5B" w:rsidRPr="00C5424F" w:rsidRDefault="00532B5B" w:rsidP="00801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532B5B" w:rsidRPr="00C5424F" w:rsidRDefault="00532B5B" w:rsidP="00801D1B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83462C" w:rsidRDefault="0083462C">
      <w:pPr>
        <w:rPr>
          <w:b/>
          <w:u w:val="single"/>
        </w:rPr>
      </w:pPr>
      <w:r>
        <w:rPr>
          <w:b/>
          <w:u w:val="single"/>
        </w:rPr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B10869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D34C1D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E15424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801D1B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801D1B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801D1B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801D1B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801D1B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801D1B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>
        <w:rPr>
          <w:rFonts w:cstheme="minorHAnsi"/>
        </w:rPr>
        <w:br w:type="page"/>
      </w:r>
      <w:r w:rsidRPr="00C16BEE">
        <w:rPr>
          <w:rFonts w:cstheme="minorHAnsi"/>
          <w:b/>
          <w:u w:val="single"/>
        </w:rPr>
        <w:lastRenderedPageBreak/>
        <w:t xml:space="preserve">Options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801D1B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3E0080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3E0080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3E0080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E0080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3A7E49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531F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8D52E2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fileext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531F77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531F77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191B3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531F77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531F7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80127B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 pour déclencher une alerte après X count, limit pour éviter le flood d’alertes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3F3B6A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CA6418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505480" w:rsidRDefault="00505480">
      <w:pPr>
        <w:rPr>
          <w:rFonts w:cstheme="minorHAnsi"/>
        </w:rPr>
      </w:pPr>
    </w:p>
    <w:p w:rsidR="00CA6418" w:rsidRDefault="00CA641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Cas pratique :</w:t>
      </w:r>
    </w:p>
    <w:p w:rsidR="00F329CD" w:rsidRPr="007F7578" w:rsidRDefault="00F329CD">
      <w:pPr>
        <w:rPr>
          <w:rFonts w:cstheme="minorHAnsi"/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6"/>
        <w:gridCol w:w="3562"/>
        <w:gridCol w:w="3100"/>
      </w:tblGrid>
      <w:tr w:rsidR="00D6069C" w:rsidRPr="00C5424F" w:rsidTr="00D6069C">
        <w:trPr>
          <w:trHeight w:val="567"/>
        </w:trPr>
        <w:tc>
          <w:tcPr>
            <w:tcW w:w="2626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B15C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 Threats</w:t>
            </w:r>
          </w:p>
        </w:tc>
        <w:tc>
          <w:tcPr>
            <w:tcW w:w="3562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B15C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100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  <w:bookmarkStart w:id="0" w:name="_GoBack"/>
            <w:bookmarkEnd w:id="0"/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Botcc.portgrouped.rules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Ciarmy.rules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Compromised.rules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Decoder-events.rules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Dshield.rules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Emerging-activex.rules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merging</w:t>
            </w:r>
            <w:r>
              <w:rPr>
                <w:sz w:val="20"/>
                <w:szCs w:val="20"/>
              </w:rPr>
              <w:t>-attack_response.rules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merging</w:t>
            </w:r>
            <w:r>
              <w:rPr>
                <w:sz w:val="20"/>
                <w:szCs w:val="20"/>
              </w:rPr>
              <w:t>-chat.rules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merging</w:t>
            </w:r>
            <w:r>
              <w:rPr>
                <w:sz w:val="20"/>
                <w:szCs w:val="20"/>
              </w:rPr>
              <w:t>.conf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emerging-current_events.rules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C5424F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emerging-deleted.rules  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emerging-dns.rules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emerging-dos.rules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emerging-exploit.rules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emerging-ftp.rules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lastRenderedPageBreak/>
              <w:t>emerging-games.rules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emerging-icmp_info.rules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emerging-imap.rules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emerging-inappropriate.rules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emerging-info.rules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emerging-malware.rules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emerging-misc.rules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emerging-mobile_malware.rules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emerging-netbios.rules          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      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emerging-policy.rules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emerging-pop3.rules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emerging-rpc.rules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emerging-scada.rules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emerging-scan.rules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emerging-shellcode.rules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emerging-smtp.rules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emerging-snmp.rules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emerging-sql.rules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emerging-telnet.rules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emerging-tftp.rules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emerging-trojan.rules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782624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emerging-user_agents.rules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emerging-voip.rules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emerging-web_client.rules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emerging-web_server.rules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emerging-web_specific_apps.rules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emerging-worm.rules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files.rules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gen-msg.map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modbus-events.rules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nfs-events.rules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ntp-events.rules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rbn-malvertisers.rules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sid-msg.map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smtp-events.rules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stream-events.rules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tls-events.rules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tor.rules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D6069C" w:rsidRPr="00C5424F" w:rsidTr="00D6069C">
        <w:trPr>
          <w:trHeight w:val="567"/>
        </w:trPr>
        <w:tc>
          <w:tcPr>
            <w:tcW w:w="2626" w:type="dxa"/>
            <w:vAlign w:val="center"/>
          </w:tcPr>
          <w:p w:rsidR="00D6069C" w:rsidRPr="000C6F93" w:rsidRDefault="00D6069C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unicode.map</w:t>
            </w:r>
          </w:p>
        </w:tc>
        <w:tc>
          <w:tcPr>
            <w:tcW w:w="3562" w:type="dxa"/>
            <w:vAlign w:val="center"/>
          </w:tcPr>
          <w:p w:rsidR="00D6069C" w:rsidRPr="00C5424F" w:rsidRDefault="00D6069C" w:rsidP="00B1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00" w:type="dxa"/>
            <w:vAlign w:val="center"/>
          </w:tcPr>
          <w:p w:rsidR="00D6069C" w:rsidRPr="00C5424F" w:rsidRDefault="00D6069C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27DE" w:rsidRPr="00C16BEE" w:rsidRDefault="002127DE">
      <w:pPr>
        <w:rPr>
          <w:rFonts w:cstheme="minorHAnsi"/>
        </w:rPr>
      </w:pPr>
    </w:p>
    <w:sectPr w:rsidR="002127DE" w:rsidRPr="00C1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21048"/>
    <w:rsid w:val="000271F6"/>
    <w:rsid w:val="000328A0"/>
    <w:rsid w:val="00035512"/>
    <w:rsid w:val="0004731E"/>
    <w:rsid w:val="00052A98"/>
    <w:rsid w:val="00075CAC"/>
    <w:rsid w:val="00076DD2"/>
    <w:rsid w:val="00081E0F"/>
    <w:rsid w:val="000C49F1"/>
    <w:rsid w:val="000C6F93"/>
    <w:rsid w:val="000D359E"/>
    <w:rsid w:val="000E02AA"/>
    <w:rsid w:val="001154DA"/>
    <w:rsid w:val="00155A29"/>
    <w:rsid w:val="001868E6"/>
    <w:rsid w:val="001A7BCF"/>
    <w:rsid w:val="001C378D"/>
    <w:rsid w:val="001C647F"/>
    <w:rsid w:val="001F77D0"/>
    <w:rsid w:val="0021239C"/>
    <w:rsid w:val="002127DE"/>
    <w:rsid w:val="00252982"/>
    <w:rsid w:val="00273EB7"/>
    <w:rsid w:val="0029570C"/>
    <w:rsid w:val="002A5269"/>
    <w:rsid w:val="002C22C6"/>
    <w:rsid w:val="002C59E8"/>
    <w:rsid w:val="002E02F9"/>
    <w:rsid w:val="002E1785"/>
    <w:rsid w:val="003031C5"/>
    <w:rsid w:val="00346B15"/>
    <w:rsid w:val="00350BED"/>
    <w:rsid w:val="003613BE"/>
    <w:rsid w:val="00365AA5"/>
    <w:rsid w:val="00390501"/>
    <w:rsid w:val="00393D48"/>
    <w:rsid w:val="00397711"/>
    <w:rsid w:val="003A047B"/>
    <w:rsid w:val="003A5DC5"/>
    <w:rsid w:val="003A7770"/>
    <w:rsid w:val="003B767D"/>
    <w:rsid w:val="003D56A8"/>
    <w:rsid w:val="003E5216"/>
    <w:rsid w:val="003E5972"/>
    <w:rsid w:val="0040074B"/>
    <w:rsid w:val="0040418C"/>
    <w:rsid w:val="004106E2"/>
    <w:rsid w:val="004968A7"/>
    <w:rsid w:val="004A1308"/>
    <w:rsid w:val="004B5D0D"/>
    <w:rsid w:val="004D4252"/>
    <w:rsid w:val="00502272"/>
    <w:rsid w:val="00503416"/>
    <w:rsid w:val="00505480"/>
    <w:rsid w:val="005166C2"/>
    <w:rsid w:val="00532B5B"/>
    <w:rsid w:val="0053721F"/>
    <w:rsid w:val="00540573"/>
    <w:rsid w:val="0054534B"/>
    <w:rsid w:val="00550BCD"/>
    <w:rsid w:val="00551441"/>
    <w:rsid w:val="00557F4B"/>
    <w:rsid w:val="00576E19"/>
    <w:rsid w:val="00594669"/>
    <w:rsid w:val="005C5B01"/>
    <w:rsid w:val="005E1D9A"/>
    <w:rsid w:val="005F502F"/>
    <w:rsid w:val="005F629F"/>
    <w:rsid w:val="00646EB6"/>
    <w:rsid w:val="0067299A"/>
    <w:rsid w:val="00673BA5"/>
    <w:rsid w:val="00673EF0"/>
    <w:rsid w:val="006964C6"/>
    <w:rsid w:val="006A2E1F"/>
    <w:rsid w:val="006B4406"/>
    <w:rsid w:val="006C6477"/>
    <w:rsid w:val="006C7ECD"/>
    <w:rsid w:val="006E63FE"/>
    <w:rsid w:val="006F6A2A"/>
    <w:rsid w:val="00716F20"/>
    <w:rsid w:val="00717E9A"/>
    <w:rsid w:val="0073340B"/>
    <w:rsid w:val="00766BE0"/>
    <w:rsid w:val="00782624"/>
    <w:rsid w:val="007A08C7"/>
    <w:rsid w:val="007A6E9E"/>
    <w:rsid w:val="007F4B3E"/>
    <w:rsid w:val="007F7578"/>
    <w:rsid w:val="0080127B"/>
    <w:rsid w:val="00814531"/>
    <w:rsid w:val="008163BE"/>
    <w:rsid w:val="008225EC"/>
    <w:rsid w:val="00833325"/>
    <w:rsid w:val="0083462C"/>
    <w:rsid w:val="008412A8"/>
    <w:rsid w:val="0086058A"/>
    <w:rsid w:val="008A1FE4"/>
    <w:rsid w:val="008B2604"/>
    <w:rsid w:val="008B6637"/>
    <w:rsid w:val="008C6940"/>
    <w:rsid w:val="008E09E1"/>
    <w:rsid w:val="008E2037"/>
    <w:rsid w:val="008F1A15"/>
    <w:rsid w:val="008F5730"/>
    <w:rsid w:val="008F5B95"/>
    <w:rsid w:val="00916A77"/>
    <w:rsid w:val="00927E1C"/>
    <w:rsid w:val="00931C3A"/>
    <w:rsid w:val="00960EC8"/>
    <w:rsid w:val="00984140"/>
    <w:rsid w:val="009A2C99"/>
    <w:rsid w:val="009B5CF9"/>
    <w:rsid w:val="009E6257"/>
    <w:rsid w:val="00A02076"/>
    <w:rsid w:val="00A84B72"/>
    <w:rsid w:val="00A85A29"/>
    <w:rsid w:val="00AA6913"/>
    <w:rsid w:val="00AD2223"/>
    <w:rsid w:val="00AD4ABE"/>
    <w:rsid w:val="00AE50B0"/>
    <w:rsid w:val="00AF73AD"/>
    <w:rsid w:val="00B03939"/>
    <w:rsid w:val="00B14A38"/>
    <w:rsid w:val="00B25275"/>
    <w:rsid w:val="00B30BEA"/>
    <w:rsid w:val="00B37EF9"/>
    <w:rsid w:val="00B46D69"/>
    <w:rsid w:val="00B97283"/>
    <w:rsid w:val="00BA2978"/>
    <w:rsid w:val="00BA2EB8"/>
    <w:rsid w:val="00BA7B20"/>
    <w:rsid w:val="00BB62FD"/>
    <w:rsid w:val="00BD7F23"/>
    <w:rsid w:val="00BE0EF1"/>
    <w:rsid w:val="00BE4EFD"/>
    <w:rsid w:val="00BE4F44"/>
    <w:rsid w:val="00BE5A14"/>
    <w:rsid w:val="00BF164E"/>
    <w:rsid w:val="00BF640C"/>
    <w:rsid w:val="00C16BEE"/>
    <w:rsid w:val="00C26594"/>
    <w:rsid w:val="00C4265A"/>
    <w:rsid w:val="00C5424F"/>
    <w:rsid w:val="00C87D5A"/>
    <w:rsid w:val="00C91F7A"/>
    <w:rsid w:val="00C95119"/>
    <w:rsid w:val="00CA6418"/>
    <w:rsid w:val="00CC227B"/>
    <w:rsid w:val="00CF1CD9"/>
    <w:rsid w:val="00D554AE"/>
    <w:rsid w:val="00D6069C"/>
    <w:rsid w:val="00D60832"/>
    <w:rsid w:val="00D6719B"/>
    <w:rsid w:val="00D800D9"/>
    <w:rsid w:val="00D90930"/>
    <w:rsid w:val="00DA0A6C"/>
    <w:rsid w:val="00DA0AF4"/>
    <w:rsid w:val="00DF10A4"/>
    <w:rsid w:val="00E42668"/>
    <w:rsid w:val="00E65B85"/>
    <w:rsid w:val="00E71B08"/>
    <w:rsid w:val="00E72FF3"/>
    <w:rsid w:val="00EA5E68"/>
    <w:rsid w:val="00EB69D6"/>
    <w:rsid w:val="00EC0979"/>
    <w:rsid w:val="00ED7948"/>
    <w:rsid w:val="00EE1DCE"/>
    <w:rsid w:val="00F210FC"/>
    <w:rsid w:val="00F329CD"/>
    <w:rsid w:val="00F41DDD"/>
    <w:rsid w:val="00F46E08"/>
    <w:rsid w:val="00FA75BC"/>
    <w:rsid w:val="00FB5C1E"/>
    <w:rsid w:val="00FB5D2E"/>
    <w:rsid w:val="00FC0253"/>
    <w:rsid w:val="00FD75DA"/>
    <w:rsid w:val="00FF0106"/>
    <w:rsid w:val="00FF1363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002E8-F89E-46A3-8A75-C6FC7D2A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12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183</cp:revision>
  <dcterms:created xsi:type="dcterms:W3CDTF">2018-06-05T09:16:00Z</dcterms:created>
  <dcterms:modified xsi:type="dcterms:W3CDTF">2018-08-21T13:31:00Z</dcterms:modified>
</cp:coreProperties>
</file>