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AA0A2" w14:textId="77777777" w:rsidR="001854FF" w:rsidRPr="007F4D5C" w:rsidRDefault="001854FF" w:rsidP="007F4D5C">
      <w:pPr>
        <w:pStyle w:val="Titolo1"/>
      </w:pPr>
      <w:bookmarkStart w:id="0" w:name="_Toc189737579"/>
      <w:bookmarkStart w:id="1" w:name="_Toc222155012"/>
      <w:r w:rsidRPr="007F4D5C">
        <w:t>Attrezzatura: FORNO A MICROONDE</w:t>
      </w:r>
      <w:bookmarkEnd w:id="0"/>
      <w:bookmarkEnd w:id="1"/>
    </w:p>
    <w:p w14:paraId="400169FA" w14:textId="77777777" w:rsidR="001854FF" w:rsidRDefault="001854FF" w:rsidP="001854FF">
      <w:pPr>
        <w:pStyle w:val="Titolo2"/>
      </w:pPr>
      <w:bookmarkStart w:id="2" w:name="_Toc189737580"/>
      <w:bookmarkStart w:id="3" w:name="_Toc222155013"/>
      <w:r>
        <w:t>Descrizione</w:t>
      </w:r>
      <w:bookmarkEnd w:id="2"/>
      <w:bookmarkEnd w:id="3"/>
    </w:p>
    <w:p w14:paraId="114B70DE" w14:textId="77777777" w:rsidR="001854FF" w:rsidRDefault="001854FF" w:rsidP="001854FF">
      <w:r>
        <w:t>L'attrezzatura è alimentata elettricamente e viene utilizzata per scaldare e scongelare le vivande tramite le vibrazioni molecolari</w:t>
      </w:r>
    </w:p>
    <w:p w14:paraId="1635AE59" w14:textId="77777777" w:rsidR="001854FF" w:rsidRDefault="001854FF" w:rsidP="001854FF"/>
    <w:tbl>
      <w:tblPr>
        <w:tblW w:w="5000" w:type="pct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2989"/>
        <w:gridCol w:w="2989"/>
        <w:gridCol w:w="344"/>
        <w:gridCol w:w="308"/>
        <w:gridCol w:w="308"/>
      </w:tblGrid>
      <w:tr w:rsidR="001854FF" w:rsidRPr="00162990" w14:paraId="414DE8A6" w14:textId="77777777" w:rsidTr="00162990">
        <w:trPr>
          <w:tblHeader/>
        </w:trPr>
        <w:tc>
          <w:tcPr>
            <w:tcW w:w="4928" w:type="dxa"/>
          </w:tcPr>
          <w:p w14:paraId="246E3A91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Individuazione dei rischi</w:t>
            </w:r>
          </w:p>
        </w:tc>
        <w:tc>
          <w:tcPr>
            <w:tcW w:w="4928" w:type="dxa"/>
          </w:tcPr>
          <w:p w14:paraId="33C982ED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Misure adottate</w:t>
            </w:r>
          </w:p>
        </w:tc>
        <w:tc>
          <w:tcPr>
            <w:tcW w:w="4928" w:type="dxa"/>
          </w:tcPr>
          <w:p w14:paraId="54B0850E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Valutazione rischi residui</w:t>
            </w:r>
          </w:p>
        </w:tc>
        <w:tc>
          <w:tcPr>
            <w:tcW w:w="420" w:type="dxa"/>
          </w:tcPr>
          <w:p w14:paraId="12ED4474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P</w:t>
            </w:r>
          </w:p>
        </w:tc>
        <w:tc>
          <w:tcPr>
            <w:tcW w:w="358" w:type="dxa"/>
          </w:tcPr>
          <w:p w14:paraId="3367CBDE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D</w:t>
            </w:r>
          </w:p>
        </w:tc>
        <w:tc>
          <w:tcPr>
            <w:tcW w:w="358" w:type="dxa"/>
          </w:tcPr>
          <w:p w14:paraId="3004C031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R</w:t>
            </w:r>
          </w:p>
        </w:tc>
      </w:tr>
      <w:tr w:rsidR="001854FF" w14:paraId="366A704A" w14:textId="77777777" w:rsidTr="00162990">
        <w:tc>
          <w:tcPr>
            <w:tcW w:w="4928" w:type="dxa"/>
          </w:tcPr>
          <w:p w14:paraId="64E301C4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Ustioni</w:t>
            </w:r>
            <w:r>
              <w:rPr>
                <w:sz w:val="18"/>
                <w:szCs w:val="18"/>
              </w:rPr>
              <w:t>: possibili al momento dell’estrazione dei contenitori di cibi cotti.</w:t>
            </w:r>
          </w:p>
        </w:tc>
        <w:tc>
          <w:tcPr>
            <w:tcW w:w="4928" w:type="dxa"/>
          </w:tcPr>
          <w:p w14:paraId="73C7B7C2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L’uso di presine o il lasciar raffreddare i contenitori permette di ridurre il rischio.</w:t>
            </w:r>
          </w:p>
        </w:tc>
        <w:tc>
          <w:tcPr>
            <w:tcW w:w="4928" w:type="dxa"/>
          </w:tcPr>
          <w:p w14:paraId="4FE17B78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di ustioni non può essere escluso. I danni che si possono generare sono prevedibilmente contenuti.</w:t>
            </w:r>
          </w:p>
        </w:tc>
        <w:tc>
          <w:tcPr>
            <w:tcW w:w="420" w:type="dxa"/>
          </w:tcPr>
          <w:p w14:paraId="184A9D50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8" w:type="dxa"/>
          </w:tcPr>
          <w:p w14:paraId="0181BD10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693ECEB9" w14:textId="77777777" w:rsidR="001854FF" w:rsidRDefault="001854FF" w:rsidP="001854FF">
            <w:r>
              <w:rPr>
                <w:highlight w:val="green"/>
              </w:rPr>
              <w:t>2</w:t>
            </w:r>
          </w:p>
          <w:p w14:paraId="298D8D17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568E4759" w14:textId="77777777" w:rsidTr="00162990">
        <w:tc>
          <w:tcPr>
            <w:tcW w:w="4928" w:type="dxa"/>
          </w:tcPr>
          <w:p w14:paraId="2C62A4EB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>: poiché la macchina è alimentata elettricamente, non si può escludere la possibilità di contatti con punti in tensione della macchina stessa o del suo filo di collegamento alla rete di alimentazione.</w:t>
            </w:r>
          </w:p>
        </w:tc>
        <w:tc>
          <w:tcPr>
            <w:tcW w:w="4928" w:type="dxa"/>
          </w:tcPr>
          <w:p w14:paraId="5F5DA3A3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punti in tensione sono stati resi inaccessibili mediante protezioni fisse. I fili di collegamento sono racchiusi all'interno di guaina a doppia protezione. Sull'impianto elettrico sono presenti dispositivi di protezione che provvedono, in caso di incidente, al distacco tempestivo della corrente.</w:t>
            </w:r>
          </w:p>
        </w:tc>
        <w:tc>
          <w:tcPr>
            <w:tcW w:w="4928" w:type="dxa"/>
          </w:tcPr>
          <w:p w14:paraId="265B7D02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Elettrocuzioni sono possibili solo nel caso in cui vengano rimosse le protezioni che impediscono il contatto con i punti in tensione. La rimozione, la manomissione o l’esclusione dei dispositivi e dei sistemi di sicurezza è vietata a tutti i lavoratori.</w:t>
            </w:r>
          </w:p>
        </w:tc>
        <w:tc>
          <w:tcPr>
            <w:tcW w:w="420" w:type="dxa"/>
          </w:tcPr>
          <w:p w14:paraId="1ED77292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4A531165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6FCF3F08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7CB212F5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B541566" w14:textId="77777777" w:rsidR="001854FF" w:rsidRDefault="001854FF" w:rsidP="001854FF">
      <w:pPr>
        <w:pStyle w:val="Titolo2"/>
      </w:pPr>
      <w:bookmarkStart w:id="4" w:name="_Toc189737581"/>
      <w:bookmarkStart w:id="5" w:name="_Toc222155014"/>
      <w:r>
        <w:t>DPI</w:t>
      </w:r>
      <w:bookmarkEnd w:id="4"/>
      <w:bookmarkEnd w:id="5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1854FF" w14:paraId="614D0427" w14:textId="77777777" w:rsidTr="001854FF">
        <w:tc>
          <w:tcPr>
            <w:tcW w:w="15948" w:type="dxa"/>
          </w:tcPr>
          <w:p w14:paraId="53C5AB64" w14:textId="77777777" w:rsidR="001854FF" w:rsidRDefault="001854FF" w:rsidP="001854FF">
            <w:r>
              <w:t>Nessun DPI ritenuto necessario</w:t>
            </w:r>
          </w:p>
        </w:tc>
      </w:tr>
    </w:tbl>
    <w:p w14:paraId="46BEEA0B" w14:textId="77777777" w:rsidR="007E59A5" w:rsidRPr="00EF4EFC" w:rsidRDefault="007E59A5" w:rsidP="00CC492F"/>
    <w:sectPr w:rsidR="007E59A5" w:rsidRPr="00EF4EFC" w:rsidSect="00CC492F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492F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2026-02-18T09:15:00Z</dcterms:created>
  <dcterms:modified xsi:type="dcterms:W3CDTF">2026-02-18T09:15:00Z</dcterms:modified>
</cp:coreProperties>
</file>