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67711" w14:textId="7A230B71" w:rsidR="001854FF" w:rsidRPr="007F4D5C" w:rsidRDefault="00724DB4" w:rsidP="007F4D5C">
      <w:pPr>
        <w:pStyle w:val="Titolo1"/>
      </w:pPr>
      <w:bookmarkStart w:id="0" w:name="_Toc189737585"/>
      <w:bookmarkStart w:id="1" w:name="_Toc222155018"/>
      <w:r w:rsidRPr="007F4D5C">
        <w:t>A</w:t>
      </w:r>
      <w:r w:rsidR="001854FF" w:rsidRPr="007F4D5C">
        <w:t>ttrezzatura: FRIGORIFERO</w:t>
      </w:r>
      <w:bookmarkEnd w:id="0"/>
      <w:bookmarkEnd w:id="1"/>
    </w:p>
    <w:p w14:paraId="07328CDD" w14:textId="77777777" w:rsidR="001854FF" w:rsidRDefault="001854FF" w:rsidP="001854FF">
      <w:pPr>
        <w:pStyle w:val="Titolo2"/>
      </w:pPr>
      <w:bookmarkStart w:id="2" w:name="_Toc189737586"/>
      <w:bookmarkStart w:id="3" w:name="_Toc222155019"/>
      <w:r>
        <w:t>Descrizione</w:t>
      </w:r>
      <w:bookmarkEnd w:id="2"/>
      <w:bookmarkEnd w:id="3"/>
    </w:p>
    <w:p w14:paraId="3952AAEA" w14:textId="77777777" w:rsidR="001854FF" w:rsidRDefault="001854FF" w:rsidP="001854FF">
      <w:r>
        <w:t>Il frigorifero viene utilizzato per la conservazione di cibi e bevande. L'attrezzatura è alimentata elettricamente mediante collegamento all'impianto, il più delle volte, per mezzo di prese interbloccate. La regolazione della temperatura avviene per mezzo di comandi, generalmente, esterni.</w:t>
      </w:r>
    </w:p>
    <w:p w14:paraId="3373A86D" w14:textId="77777777" w:rsidR="001854FF" w:rsidRDefault="001854FF" w:rsidP="001854FF"/>
    <w:tbl>
      <w:tblPr>
        <w:tblW w:w="5000" w:type="pct"/>
        <w:jc w:val="center"/>
        <w:tblBorders>
          <w:insideH w:val="single" w:sz="4" w:space="0" w:color="FF3300"/>
          <w:insideV w:val="single" w:sz="4" w:space="0" w:color="FF3300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2989"/>
        <w:gridCol w:w="2989"/>
        <w:gridCol w:w="344"/>
        <w:gridCol w:w="308"/>
        <w:gridCol w:w="308"/>
      </w:tblGrid>
      <w:tr w:rsidR="001854FF" w:rsidRPr="00162990" w14:paraId="363576AF" w14:textId="77777777" w:rsidTr="00162990">
        <w:trPr>
          <w:tblHeader/>
          <w:jc w:val="center"/>
        </w:trPr>
        <w:tc>
          <w:tcPr>
            <w:tcW w:w="4928" w:type="dxa"/>
          </w:tcPr>
          <w:p w14:paraId="77113A22" w14:textId="77777777" w:rsidR="001854FF" w:rsidRPr="00162990" w:rsidRDefault="001854FF" w:rsidP="001854FF">
            <w:pPr>
              <w:rPr>
                <w:b/>
              </w:rPr>
            </w:pPr>
            <w:r w:rsidRPr="00162990">
              <w:rPr>
                <w:b/>
              </w:rPr>
              <w:t>Individuazione dei rischi</w:t>
            </w:r>
          </w:p>
        </w:tc>
        <w:tc>
          <w:tcPr>
            <w:tcW w:w="4928" w:type="dxa"/>
          </w:tcPr>
          <w:p w14:paraId="6AF010B4" w14:textId="77777777" w:rsidR="001854FF" w:rsidRPr="00162990" w:rsidRDefault="001854FF" w:rsidP="001854FF">
            <w:pPr>
              <w:rPr>
                <w:b/>
              </w:rPr>
            </w:pPr>
            <w:r w:rsidRPr="00162990">
              <w:rPr>
                <w:b/>
              </w:rPr>
              <w:t>Misure adottate</w:t>
            </w:r>
          </w:p>
        </w:tc>
        <w:tc>
          <w:tcPr>
            <w:tcW w:w="4928" w:type="dxa"/>
          </w:tcPr>
          <w:p w14:paraId="16BDA807" w14:textId="77777777" w:rsidR="001854FF" w:rsidRPr="00162990" w:rsidRDefault="001854FF" w:rsidP="001854FF">
            <w:pPr>
              <w:rPr>
                <w:b/>
              </w:rPr>
            </w:pPr>
            <w:r w:rsidRPr="00162990">
              <w:rPr>
                <w:b/>
              </w:rPr>
              <w:t>Valutazione rischi residui</w:t>
            </w:r>
          </w:p>
        </w:tc>
        <w:tc>
          <w:tcPr>
            <w:tcW w:w="420" w:type="dxa"/>
          </w:tcPr>
          <w:p w14:paraId="04E3D7E8" w14:textId="77777777" w:rsidR="001854FF" w:rsidRPr="00162990" w:rsidRDefault="001854FF" w:rsidP="001854FF">
            <w:pPr>
              <w:jc w:val="center"/>
              <w:rPr>
                <w:b/>
              </w:rPr>
            </w:pPr>
            <w:r w:rsidRPr="00162990">
              <w:rPr>
                <w:b/>
              </w:rPr>
              <w:t>P</w:t>
            </w:r>
          </w:p>
        </w:tc>
        <w:tc>
          <w:tcPr>
            <w:tcW w:w="358" w:type="dxa"/>
          </w:tcPr>
          <w:p w14:paraId="33DE9E12" w14:textId="77777777" w:rsidR="001854FF" w:rsidRPr="00162990" w:rsidRDefault="001854FF" w:rsidP="001854FF">
            <w:pPr>
              <w:jc w:val="center"/>
              <w:rPr>
                <w:b/>
              </w:rPr>
            </w:pPr>
            <w:r w:rsidRPr="00162990">
              <w:rPr>
                <w:b/>
              </w:rPr>
              <w:t>D</w:t>
            </w:r>
          </w:p>
        </w:tc>
        <w:tc>
          <w:tcPr>
            <w:tcW w:w="358" w:type="dxa"/>
          </w:tcPr>
          <w:p w14:paraId="7E62FA9E" w14:textId="77777777" w:rsidR="001854FF" w:rsidRPr="00162990" w:rsidRDefault="001854FF" w:rsidP="001854FF">
            <w:pPr>
              <w:jc w:val="center"/>
              <w:rPr>
                <w:b/>
              </w:rPr>
            </w:pPr>
            <w:r w:rsidRPr="00162990">
              <w:rPr>
                <w:b/>
              </w:rPr>
              <w:t>R</w:t>
            </w:r>
          </w:p>
        </w:tc>
      </w:tr>
      <w:tr w:rsidR="001854FF" w14:paraId="58B52255" w14:textId="77777777" w:rsidTr="00162990">
        <w:trPr>
          <w:jc w:val="center"/>
        </w:trPr>
        <w:tc>
          <w:tcPr>
            <w:tcW w:w="4928" w:type="dxa"/>
          </w:tcPr>
          <w:p w14:paraId="3C16F802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Elettrocuzioni</w:t>
            </w:r>
            <w:r>
              <w:rPr>
                <w:sz w:val="18"/>
                <w:szCs w:val="18"/>
              </w:rPr>
              <w:t>: poiché l'attrezzatura è alimentata elettricamente, non si possono escludere contatti con punti in tensione, sia diretti che indiretti.</w:t>
            </w:r>
          </w:p>
        </w:tc>
        <w:tc>
          <w:tcPr>
            <w:tcW w:w="4928" w:type="dxa"/>
          </w:tcPr>
          <w:p w14:paraId="583535CC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Tutti i punti in tensione sono resi inaccessibili per mezzo di protezioni fisse quali schermi e guaine protettive. Sull'impianto elettrico sono installati sistemi di protezione attiva quali interruttore differenziale e passivi quali impianto di messa a terra.</w:t>
            </w:r>
          </w:p>
        </w:tc>
        <w:tc>
          <w:tcPr>
            <w:tcW w:w="4928" w:type="dxa"/>
          </w:tcPr>
          <w:p w14:paraId="0C5DC17B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 rischio può verificarsi nel caso in cui le protezioni alle parti elettriche avessero subito lesioni tali da esporre i cavi al contatto diretto indiretto. Si rende necessario, pertanto, provvedere al controllo periodico dello stato dell'attrezzatura al fine di evidenziare, tempestivamente, qualsiasi anomalia, prima che sia causa di incidente.</w:t>
            </w:r>
          </w:p>
        </w:tc>
        <w:tc>
          <w:tcPr>
            <w:tcW w:w="420" w:type="dxa"/>
          </w:tcPr>
          <w:p w14:paraId="03D45485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8" w:type="dxa"/>
          </w:tcPr>
          <w:p w14:paraId="03BB14B6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8" w:type="dxa"/>
          </w:tcPr>
          <w:p w14:paraId="3B164BE8" w14:textId="77777777" w:rsidR="001854FF" w:rsidRDefault="001854FF" w:rsidP="001854FF">
            <w:r>
              <w:rPr>
                <w:highlight w:val="green"/>
              </w:rPr>
              <w:t>3</w:t>
            </w:r>
          </w:p>
          <w:p w14:paraId="616AC930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</w:p>
        </w:tc>
      </w:tr>
      <w:tr w:rsidR="001854FF" w14:paraId="27652D61" w14:textId="77777777" w:rsidTr="00162990">
        <w:trPr>
          <w:jc w:val="center"/>
        </w:trPr>
        <w:tc>
          <w:tcPr>
            <w:tcW w:w="4928" w:type="dxa"/>
          </w:tcPr>
          <w:p w14:paraId="37F3064C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Pizzicamento</w:t>
            </w:r>
            <w:r>
              <w:rPr>
                <w:sz w:val="18"/>
                <w:szCs w:val="18"/>
              </w:rPr>
              <w:t>: durante le operazioni di apertura e chiusura delle porte è possibile che le dita della mano vengano schiacciate.</w:t>
            </w:r>
          </w:p>
        </w:tc>
        <w:tc>
          <w:tcPr>
            <w:tcW w:w="4928" w:type="dxa"/>
          </w:tcPr>
          <w:p w14:paraId="01456F46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 porte sono dotate di guaina che, oltre a determinare la chiusura stagna, riduce i danni in caso di pizzicamento. Le ante sono dotate di maniglie che, utilizzate, evitano questo pericolo.</w:t>
            </w:r>
          </w:p>
        </w:tc>
        <w:tc>
          <w:tcPr>
            <w:tcW w:w="4928" w:type="dxa"/>
          </w:tcPr>
          <w:p w14:paraId="5FCA85DA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Il rischio, sebbene non escludibile è da </w:t>
            </w:r>
            <w:proofErr w:type="spellStart"/>
            <w:r>
              <w:rPr>
                <w:sz w:val="18"/>
                <w:szCs w:val="18"/>
              </w:rPr>
              <w:t>riteneresi</w:t>
            </w:r>
            <w:proofErr w:type="spellEnd"/>
            <w:r>
              <w:rPr>
                <w:sz w:val="18"/>
                <w:szCs w:val="18"/>
              </w:rPr>
              <w:t xml:space="preserve"> pressoché trascurabile sia perché la probabilità di eventi di questo tipo è ridotta, sia perché i danni conseguenti dovrebbero essere nulli.</w:t>
            </w:r>
          </w:p>
        </w:tc>
        <w:tc>
          <w:tcPr>
            <w:tcW w:w="420" w:type="dxa"/>
          </w:tcPr>
          <w:p w14:paraId="777DE997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8" w:type="dxa"/>
          </w:tcPr>
          <w:p w14:paraId="347732A7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8" w:type="dxa"/>
          </w:tcPr>
          <w:p w14:paraId="5BDF009D" w14:textId="77777777" w:rsidR="001854FF" w:rsidRDefault="001854FF" w:rsidP="001854FF">
            <w:r>
              <w:rPr>
                <w:highlight w:val="green"/>
              </w:rPr>
              <w:t>1</w:t>
            </w:r>
          </w:p>
          <w:p w14:paraId="15277FF9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</w:p>
        </w:tc>
      </w:tr>
      <w:tr w:rsidR="001854FF" w14:paraId="6D7AC824" w14:textId="77777777" w:rsidTr="00162990">
        <w:trPr>
          <w:jc w:val="center"/>
        </w:trPr>
        <w:tc>
          <w:tcPr>
            <w:tcW w:w="4928" w:type="dxa"/>
          </w:tcPr>
          <w:p w14:paraId="6F8AA55F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Ustioni</w:t>
            </w:r>
            <w:r>
              <w:rPr>
                <w:sz w:val="18"/>
                <w:szCs w:val="18"/>
              </w:rPr>
              <w:t>: nel caso in cui il frigorifero sia integrato al freezer è possibile che si possono verificare moderate ustioni da freddo correlabili al contatto con il ghiaccio o con le superfici particolarmente fredde.</w:t>
            </w:r>
          </w:p>
        </w:tc>
        <w:tc>
          <w:tcPr>
            <w:tcW w:w="4928" w:type="dxa"/>
          </w:tcPr>
          <w:p w14:paraId="34F72420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 parti più fredde sono situate lontano dal portello; pertanto, il contatto è possibile solo nel caso in cui il lavoratore dovesse prelevare del materiale al fondo.</w:t>
            </w:r>
          </w:p>
        </w:tc>
        <w:tc>
          <w:tcPr>
            <w:tcW w:w="4928" w:type="dxa"/>
          </w:tcPr>
          <w:p w14:paraId="0831A7C9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 rischio non può essere del tutto escluso, tuttavia, in condizioni normali, possono verificarsi solo contatti limitati, per durata ed entità, che non determinano danni tali da causare assenza dal lavoro.</w:t>
            </w:r>
          </w:p>
        </w:tc>
        <w:tc>
          <w:tcPr>
            <w:tcW w:w="420" w:type="dxa"/>
          </w:tcPr>
          <w:p w14:paraId="73FE7A6C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8" w:type="dxa"/>
          </w:tcPr>
          <w:p w14:paraId="04AB681D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8" w:type="dxa"/>
          </w:tcPr>
          <w:p w14:paraId="3EC5E326" w14:textId="77777777" w:rsidR="001854FF" w:rsidRDefault="001854FF" w:rsidP="001854FF">
            <w:r>
              <w:rPr>
                <w:highlight w:val="green"/>
              </w:rPr>
              <w:t>1</w:t>
            </w:r>
          </w:p>
          <w:p w14:paraId="48A7EEA3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A5D009F" w14:textId="77777777" w:rsidR="001854FF" w:rsidRDefault="001854FF" w:rsidP="001854FF">
      <w:pPr>
        <w:pStyle w:val="Titolo2"/>
      </w:pPr>
      <w:bookmarkStart w:id="4" w:name="_Toc189737587"/>
      <w:bookmarkStart w:id="5" w:name="_Toc222155020"/>
      <w:r>
        <w:t>DPI</w:t>
      </w:r>
      <w:bookmarkEnd w:id="4"/>
      <w:bookmarkEnd w:id="5"/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9926"/>
      </w:tblGrid>
      <w:tr w:rsidR="001854FF" w14:paraId="3FF3FAA0" w14:textId="77777777" w:rsidTr="001854FF">
        <w:tc>
          <w:tcPr>
            <w:tcW w:w="15948" w:type="dxa"/>
          </w:tcPr>
          <w:p w14:paraId="7CED8AD5" w14:textId="77777777" w:rsidR="001854FF" w:rsidRDefault="001854FF" w:rsidP="001854FF">
            <w:r>
              <w:t>Nessun DPI ritenuto necessario</w:t>
            </w:r>
          </w:p>
        </w:tc>
      </w:tr>
    </w:tbl>
    <w:p w14:paraId="46BEEA0B" w14:textId="77777777" w:rsidR="007E59A5" w:rsidRPr="00EF4EFC" w:rsidRDefault="007E59A5" w:rsidP="006C6853"/>
    <w:sectPr w:rsidR="007E59A5" w:rsidRPr="00EF4EFC" w:rsidSect="006C6853">
      <w:headerReference w:type="default" r:id="rId8"/>
      <w:footerReference w:type="default" r:id="rId9"/>
      <w:pgSz w:w="11910" w:h="16840"/>
      <w:pgMar w:top="1380" w:right="992" w:bottom="1160" w:left="992" w:header="716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D465E"/>
    <w:rsid w:val="001D5FB8"/>
    <w:rsid w:val="001E17BA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57CC"/>
    <w:rsid w:val="002B1EF5"/>
    <w:rsid w:val="002B7E39"/>
    <w:rsid w:val="002C4608"/>
    <w:rsid w:val="002D1D0D"/>
    <w:rsid w:val="002E135A"/>
    <w:rsid w:val="002E63AD"/>
    <w:rsid w:val="002F09D0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C6853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0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2026-02-18T09:17:00Z</dcterms:created>
  <dcterms:modified xsi:type="dcterms:W3CDTF">2026-02-18T09:17:00Z</dcterms:modified>
</cp:coreProperties>
</file>