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C1F46" w14:textId="77777777" w:rsidR="007E59A5" w:rsidRDefault="007E59A5" w:rsidP="007F4D5C">
      <w:pPr>
        <w:pStyle w:val="Titolo1"/>
      </w:pPr>
      <w:bookmarkStart w:id="0" w:name="_Toc189737603"/>
      <w:bookmarkStart w:id="1" w:name="_Toc222155057"/>
      <w:r>
        <w:rPr>
          <w:rFonts w:eastAsia="Arial"/>
        </w:rPr>
        <w:t>ATTREZZATURA: TABLET</w:t>
      </w:r>
      <w:bookmarkEnd w:id="1"/>
      <w:r>
        <w:rPr>
          <w:rFonts w:eastAsia="Arial"/>
        </w:rPr>
        <w:t xml:space="preserve"> </w:t>
      </w:r>
    </w:p>
    <w:p w14:paraId="1328922E" w14:textId="77777777" w:rsidR="007E59A5" w:rsidRDefault="007E59A5" w:rsidP="007E59A5">
      <w:pPr>
        <w:spacing w:after="66" w:line="259" w:lineRule="auto"/>
        <w:ind w:left="-29" w:right="-27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3117EB" wp14:editId="626F7653">
                <wp:extent cx="6158484" cy="6096"/>
                <wp:effectExtent l="0" t="0" r="0" b="0"/>
                <wp:docPr id="71281" name="Group 71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484" cy="6096"/>
                          <a:chOff x="0" y="0"/>
                          <a:chExt cx="6158484" cy="6096"/>
                        </a:xfrm>
                      </wpg:grpSpPr>
                      <wps:wsp>
                        <wps:cNvPr id="86567" name="Shape 86567"/>
                        <wps:cNvSpPr/>
                        <wps:spPr>
                          <a:xfrm>
                            <a:off x="0" y="0"/>
                            <a:ext cx="6158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484" h="9144">
                                <a:moveTo>
                                  <a:pt x="0" y="0"/>
                                </a:moveTo>
                                <a:lnTo>
                                  <a:pt x="6158484" y="0"/>
                                </a:lnTo>
                                <a:lnTo>
                                  <a:pt x="6158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5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1ACE8" id="Group 71281" o:spid="_x0000_s1026" style="width:484.9pt;height:.5pt;mso-position-horizontal-relative:char;mso-position-vertical-relative:line" coordsize="6158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oSbdAIAAC8GAAAOAAAAZHJzL2Uyb0RvYy54bWykVNuO2yAQfa/Uf0C8N3ai3NaKs1KbNi9V&#10;u9rdfgDB+CJhQEDi5O87jC/xZqVVlfrBxjBzmHMYzubxXEtyEtZVWqV0OokpEYrrrFJFSv+8/viy&#10;psR5pjImtRIpvQhHH7efP20ak4iZLrXMhCUAolzSmJSW3pskihwvRc3cRBuhYDHXtmYefm0RZZY1&#10;gF7LaBbHy6jRNjNWc+EczO7aRbpF/DwX3P/Ocyc8kSmF2jy+Lb4P4R1tNywpLDNlxbsy2B1V1KxS&#10;sOkAtWOekaOt3kHVFbfa6dxPuK4jnecVF8gB2EzjGzZ7q48GuRRJU5hBJpD2Rqe7Yfmv096aF/Nk&#10;QYnGFKAF/gUu59zW4QtVkjNKdhkkE2dPOEwup4v1fD2nhMPaMn5YtoryEmR/l8TL7x+lRf2W0ZtC&#10;GgOt4a7s3f+xfymZESiqS4D9kyVVltL1crFcUaJYDU2KIaSdQlkwchDJJQ70ukuhh+l8HhQaqLKE&#10;H53fC41Ks9NP59uWzPoRK/sRP6t+aKGxP2xpw3zIC0WGIWlGR1WmFOsIi7U+iVeNYf7mvKDG66pU&#10;46jh1PuGgNg+ov8axBtHjsj3Qf23DYYLCoD/GIZ3d9gXBoEnKjtwh8mxulIFGWATzsBpcsk8Xtm6&#10;8mBBsqrBv2arOL4CA1povva0ceQvUgSxpHoWOTQOXosw4Wxx+CYtObFgNPggOJOmZN1sd/BdKJaK&#10;OCE/r6QcIKeY+gZyN118na86hC445An0uCEzbjN5V01rdGAXQLq3OxBlSMKdtfJDvgKTxk1GbMPw&#10;oLMLWgQKArcRpUFXQh6dgwbbG/9j1NXnt38BAAD//wMAUEsDBBQABgAIAAAAIQCBuuvq2gAAAAMB&#10;AAAPAAAAZHJzL2Rvd25yZXYueG1sTI9BS8NAEIXvgv9hGcGb3USx2JhNKUU9FcFWEG/T7DQJzc6G&#10;7DZJ/72jF3sZeLzHm+/ly8m1aqA+NJ4NpLMEFHHpbcOVgc/d690TqBCRLbaeycCZAiyL66scM+tH&#10;/qBhGyslJRwyNFDH2GVah7Imh2HmO2LxDr53GEX2lbY9jlLuWn2fJHPtsGH5UGNH65rK4/bkDLyN&#10;OK4e0pdhczysz9+7x/evTUrG3N5Mq2dQkab4H4ZffEGHQpj2/sQ2qNaADIl/V7zFfCEz9hJKQBe5&#10;vmQvfgAAAP//AwBQSwECLQAUAAYACAAAACEAtoM4kv4AAADhAQAAEwAAAAAAAAAAAAAAAAAAAAAA&#10;W0NvbnRlbnRfVHlwZXNdLnhtbFBLAQItABQABgAIAAAAIQA4/SH/1gAAAJQBAAALAAAAAAAAAAAA&#10;AAAAAC8BAABfcmVscy8ucmVsc1BLAQItABQABgAIAAAAIQADNoSbdAIAAC8GAAAOAAAAAAAAAAAA&#10;AAAAAC4CAABkcnMvZTJvRG9jLnhtbFBLAQItABQABgAIAAAAIQCBuuvq2gAAAAMBAAAPAAAAAAAA&#10;AAAAAAAAAM4EAABkcnMvZG93bnJldi54bWxQSwUGAAAAAAQABADzAAAA1QUAAAAA&#10;">
                <v:shape id="Shape 86567" o:spid="_x0000_s1027" style="position:absolute;width:61584;height:91;visibility:visible;mso-wrap-style:square;v-text-anchor:top" coordsize="6158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/RxgAAAN4AAAAPAAAAZHJzL2Rvd25yZXYueG1sRI9Bi8Iw&#10;FITvgv8hPGFvmrpglWoUKYge9rLqLnh7Ns+22LyUJmr2328EweMwM98wi1UwjbhT52rLCsajBARx&#10;YXXNpYLjYTOcgXAeWWNjmRT8kYPVst9bYKbtg7/pvveliBB2GSqovG8zKV1RkUE3si1x9C62M+ij&#10;7EqpO3xEuGnkZ5Kk0mDNcaHClvKKiuv+ZhTgodmdtvn2Z+JuX+frbx7Wp0tQ6mMQ1nMQnoJ/h1/t&#10;nVYwSyfpFJ534hWQy38AAAD//wMAUEsBAi0AFAAGAAgAAAAhANvh9svuAAAAhQEAABMAAAAAAAAA&#10;AAAAAAAAAAAAAFtDb250ZW50X1R5cGVzXS54bWxQSwECLQAUAAYACAAAACEAWvQsW78AAAAVAQAA&#10;CwAAAAAAAAAAAAAAAAAfAQAAX3JlbHMvLnJlbHNQSwECLQAUAAYACAAAACEAhV7P0cYAAADeAAAA&#10;DwAAAAAAAAAAAAAAAAAHAgAAZHJzL2Rvd25yZXYueG1sUEsFBgAAAAADAAMAtwAAAPoCAAAAAA==&#10;" path="m,l6158484,r,9144l,9144,,e" fillcolor="#d15b47" stroked="f" strokeweight="0">
                  <v:stroke miterlimit="83231f" joinstyle="miter"/>
                  <v:path arrowok="t" textboxrect="0,0,6158484,9144"/>
                </v:shape>
                <w10:anchorlock/>
              </v:group>
            </w:pict>
          </mc:Fallback>
        </mc:AlternateContent>
      </w:r>
    </w:p>
    <w:p w14:paraId="167CA8B5" w14:textId="77777777" w:rsidR="007E59A5" w:rsidRDefault="007E59A5" w:rsidP="007F4D5C">
      <w:pPr>
        <w:pStyle w:val="Titolo2"/>
      </w:pPr>
      <w:bookmarkStart w:id="2" w:name="_Toc222155058"/>
      <w:r>
        <w:t>DESCRIZIONE</w:t>
      </w:r>
      <w:bookmarkEnd w:id="2"/>
      <w:r>
        <w:t xml:space="preserve"> </w:t>
      </w:r>
    </w:p>
    <w:p w14:paraId="4760F1DC" w14:textId="77777777" w:rsidR="007E59A5" w:rsidRDefault="007E59A5" w:rsidP="007E59A5">
      <w:pPr>
        <w:spacing w:after="205"/>
        <w:ind w:left="-5" w:right="2"/>
      </w:pPr>
      <w:r>
        <w:t xml:space="preserve">Attrezzatura portatile alimentata elettricamente, per mezzo di batteria ricaricabile interna, utilizzata per la prenotazione dei campi tramite apposita applicazione. </w:t>
      </w:r>
    </w:p>
    <w:p w14:paraId="6D2B510C" w14:textId="77777777" w:rsidR="007E59A5" w:rsidRDefault="007E59A5" w:rsidP="007E59A5">
      <w:pPr>
        <w:spacing w:after="0" w:line="259" w:lineRule="auto"/>
        <w:jc w:val="left"/>
      </w:pPr>
      <w:r>
        <w:t xml:space="preserve"> </w:t>
      </w:r>
    </w:p>
    <w:tbl>
      <w:tblPr>
        <w:tblStyle w:val="TableGrid"/>
        <w:tblW w:w="9640" w:type="dxa"/>
        <w:tblInd w:w="0" w:type="dxa"/>
        <w:tblCellMar>
          <w:top w:w="32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3277"/>
        <w:gridCol w:w="3264"/>
        <w:gridCol w:w="3099"/>
      </w:tblGrid>
      <w:tr w:rsidR="007E59A5" w14:paraId="67099642" w14:textId="77777777" w:rsidTr="003421FE">
        <w:trPr>
          <w:trHeight w:val="347"/>
        </w:trPr>
        <w:tc>
          <w:tcPr>
            <w:tcW w:w="3277" w:type="dxa"/>
            <w:tcBorders>
              <w:top w:val="nil"/>
              <w:left w:val="nil"/>
              <w:bottom w:val="single" w:sz="11" w:space="0" w:color="FFFFFF"/>
              <w:right w:val="single" w:sz="4" w:space="0" w:color="D15B47"/>
            </w:tcBorders>
          </w:tcPr>
          <w:p w14:paraId="31D1282E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eastAsia="Arial" w:cs="Arial"/>
                <w:b/>
              </w:rPr>
              <w:t xml:space="preserve">Individuazione dei rischi </w:t>
            </w:r>
          </w:p>
        </w:tc>
        <w:tc>
          <w:tcPr>
            <w:tcW w:w="3264" w:type="dxa"/>
            <w:tcBorders>
              <w:top w:val="nil"/>
              <w:left w:val="single" w:sz="4" w:space="0" w:color="D15B47"/>
              <w:bottom w:val="single" w:sz="11" w:space="0" w:color="FFFFFF"/>
              <w:right w:val="single" w:sz="4" w:space="0" w:color="D15B47"/>
            </w:tcBorders>
          </w:tcPr>
          <w:p w14:paraId="3FFF3910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eastAsia="Arial" w:cs="Arial"/>
                <w:b/>
              </w:rPr>
              <w:t xml:space="preserve">Misure adottate </w:t>
            </w:r>
          </w:p>
        </w:tc>
        <w:tc>
          <w:tcPr>
            <w:tcW w:w="3099" w:type="dxa"/>
            <w:tcBorders>
              <w:top w:val="nil"/>
              <w:left w:val="single" w:sz="4" w:space="0" w:color="D15B47"/>
              <w:bottom w:val="single" w:sz="11" w:space="0" w:color="FFFFFF"/>
              <w:right w:val="nil"/>
            </w:tcBorders>
          </w:tcPr>
          <w:p w14:paraId="3D3CF82C" w14:textId="77777777" w:rsidR="007E59A5" w:rsidRDefault="007E59A5" w:rsidP="003421FE">
            <w:pPr>
              <w:spacing w:line="259" w:lineRule="auto"/>
              <w:ind w:left="2"/>
              <w:jc w:val="left"/>
            </w:pPr>
            <w:r>
              <w:rPr>
                <w:rFonts w:eastAsia="Arial" w:cs="Arial"/>
                <w:b/>
              </w:rPr>
              <w:t xml:space="preserve">Valutazione rischi residui </w:t>
            </w:r>
          </w:p>
        </w:tc>
      </w:tr>
      <w:tr w:rsidR="007E59A5" w14:paraId="4DC04015" w14:textId="77777777" w:rsidTr="003421FE">
        <w:trPr>
          <w:trHeight w:val="2356"/>
        </w:trPr>
        <w:tc>
          <w:tcPr>
            <w:tcW w:w="3277" w:type="dxa"/>
            <w:tcBorders>
              <w:top w:val="single" w:sz="11" w:space="0" w:color="FFFFFF"/>
              <w:left w:val="nil"/>
              <w:bottom w:val="single" w:sz="4" w:space="0" w:color="D15B47"/>
              <w:right w:val="single" w:sz="4" w:space="0" w:color="D15B47"/>
            </w:tcBorders>
          </w:tcPr>
          <w:p w14:paraId="75D65FDA" w14:textId="77777777" w:rsidR="007E59A5" w:rsidRDefault="007E59A5" w:rsidP="003421FE">
            <w:pPr>
              <w:spacing w:line="259" w:lineRule="auto"/>
              <w:ind w:right="50"/>
            </w:pPr>
            <w:r>
              <w:rPr>
                <w:rFonts w:eastAsia="Arial" w:cs="Arial"/>
                <w:b/>
                <w:sz w:val="18"/>
              </w:rPr>
              <w:t>Campi elettromagnetici</w:t>
            </w:r>
            <w:r>
              <w:rPr>
                <w:sz w:val="18"/>
              </w:rPr>
              <w:t xml:space="preserve">: sebbene i dati epidemiologici siano contrastanti, lo IARC ritiene che i campi elettromagnetici derivanti dall'uso del cellulare siano da classificarsi come cancerogeni. Gli effetti sono proporzionali alla potenza del segnale, che è maggiore in fase di chiamata e quando il campo è debole, e inversamente proporzionale alla distanza. </w:t>
            </w:r>
          </w:p>
        </w:tc>
        <w:tc>
          <w:tcPr>
            <w:tcW w:w="3264" w:type="dxa"/>
            <w:tcBorders>
              <w:top w:val="single" w:sz="11" w:space="0" w:color="FFFFFF"/>
              <w:left w:val="single" w:sz="4" w:space="0" w:color="D15B47"/>
              <w:bottom w:val="single" w:sz="4" w:space="0" w:color="D15B47"/>
              <w:right w:val="single" w:sz="4" w:space="0" w:color="D15B47"/>
            </w:tcBorders>
          </w:tcPr>
          <w:p w14:paraId="3C283464" w14:textId="77777777" w:rsidR="007E59A5" w:rsidRDefault="007E59A5" w:rsidP="003421FE">
            <w:pPr>
              <w:spacing w:line="259" w:lineRule="auto"/>
              <w:ind w:right="50"/>
            </w:pPr>
            <w:r>
              <w:rPr>
                <w:sz w:val="18"/>
              </w:rPr>
              <w:t xml:space="preserve">I lavoratori ricevono in dotazione auricolari da utilizzarsi per effettuare e ricevere le telefonate, avendo cura di tenere il cellulare lontano dalla testa. </w:t>
            </w:r>
          </w:p>
        </w:tc>
        <w:tc>
          <w:tcPr>
            <w:tcW w:w="3099" w:type="dxa"/>
            <w:tcBorders>
              <w:top w:val="single" w:sz="11" w:space="0" w:color="FFFFFF"/>
              <w:left w:val="single" w:sz="4" w:space="0" w:color="D15B47"/>
              <w:bottom w:val="single" w:sz="4" w:space="0" w:color="D15B47"/>
              <w:right w:val="nil"/>
            </w:tcBorders>
          </w:tcPr>
          <w:p w14:paraId="6D6EC674" w14:textId="77777777" w:rsidR="007E59A5" w:rsidRDefault="007E59A5" w:rsidP="003421FE">
            <w:pPr>
              <w:spacing w:line="259" w:lineRule="auto"/>
              <w:ind w:left="2" w:right="52"/>
            </w:pPr>
            <w:r>
              <w:rPr>
                <w:sz w:val="18"/>
              </w:rPr>
              <w:t xml:space="preserve">Il rischio non può essere del tutto escluso, in particolare, nel caso in cui i lavoratori non dovessero impiegare in modo continuativo l'auricolare e dovessero utilizzare l'attrezzatura in condizioni di maggior rischio. I danni conseguenti sono di particolare gravità. </w:t>
            </w:r>
          </w:p>
        </w:tc>
      </w:tr>
      <w:tr w:rsidR="007E59A5" w14:paraId="59EB5FE0" w14:textId="77777777" w:rsidTr="003421FE">
        <w:trPr>
          <w:trHeight w:val="1956"/>
        </w:trPr>
        <w:tc>
          <w:tcPr>
            <w:tcW w:w="3277" w:type="dxa"/>
            <w:tcBorders>
              <w:top w:val="single" w:sz="4" w:space="0" w:color="D15B47"/>
              <w:left w:val="nil"/>
              <w:bottom w:val="nil"/>
              <w:right w:val="single" w:sz="4" w:space="0" w:color="D15B47"/>
            </w:tcBorders>
          </w:tcPr>
          <w:p w14:paraId="63674DDA" w14:textId="77777777" w:rsidR="007E59A5" w:rsidRDefault="007E59A5" w:rsidP="003421FE">
            <w:pPr>
              <w:spacing w:line="259" w:lineRule="auto"/>
              <w:ind w:right="50"/>
            </w:pPr>
            <w:r>
              <w:rPr>
                <w:rFonts w:eastAsia="Arial" w:cs="Arial"/>
                <w:b/>
                <w:sz w:val="18"/>
              </w:rPr>
              <w:t>Elettrocuzioni</w:t>
            </w:r>
            <w:r>
              <w:rPr>
                <w:sz w:val="18"/>
              </w:rPr>
              <w:t xml:space="preserve">: il rischio si presenta al momento della manipolazione del caricabatterie alimentato a 220 V nel caso in cui si venga a contatto con superfici in tensione dei conduttori. Non si evidenzia, invece, il rischio di contatti indiretti in quanto i caricabatterie sono in materiale plastico. </w:t>
            </w:r>
          </w:p>
        </w:tc>
        <w:tc>
          <w:tcPr>
            <w:tcW w:w="3264" w:type="dxa"/>
            <w:tcBorders>
              <w:top w:val="single" w:sz="4" w:space="0" w:color="D15B47"/>
              <w:left w:val="single" w:sz="4" w:space="0" w:color="D15B47"/>
              <w:bottom w:val="nil"/>
              <w:right w:val="single" w:sz="4" w:space="0" w:color="D15B47"/>
            </w:tcBorders>
          </w:tcPr>
          <w:p w14:paraId="0D229770" w14:textId="77777777" w:rsidR="007E59A5" w:rsidRDefault="007E59A5" w:rsidP="003421FE">
            <w:pPr>
              <w:spacing w:line="259" w:lineRule="auto"/>
              <w:ind w:right="48"/>
            </w:pPr>
            <w:r>
              <w:rPr>
                <w:sz w:val="18"/>
              </w:rPr>
              <w:t xml:space="preserve">Tutti i punti in tensione sono resi inaccessibili per mezzo di protezioni fisse quali guaine e schermi in plastica. Sugli impianti sono installati dispositivi di sicurezza quali interruttori differenziali che determinano l'interruzione dell'alimentazione in caso di dispersioni significative. </w:t>
            </w:r>
          </w:p>
        </w:tc>
        <w:tc>
          <w:tcPr>
            <w:tcW w:w="3099" w:type="dxa"/>
            <w:tcBorders>
              <w:top w:val="single" w:sz="4" w:space="0" w:color="D15B47"/>
              <w:left w:val="single" w:sz="4" w:space="0" w:color="D15B47"/>
              <w:bottom w:val="nil"/>
              <w:right w:val="nil"/>
            </w:tcBorders>
          </w:tcPr>
          <w:p w14:paraId="0318651B" w14:textId="77777777" w:rsidR="007E59A5" w:rsidRDefault="007E59A5" w:rsidP="003421FE">
            <w:pPr>
              <w:spacing w:line="259" w:lineRule="auto"/>
              <w:ind w:left="2" w:right="49"/>
            </w:pPr>
            <w:r>
              <w:rPr>
                <w:sz w:val="18"/>
              </w:rPr>
              <w:t xml:space="preserve">Il rischio può evidenziarsi in caso di cedimento delle protezioni del caricabatterie ed eventuale contatto con punti in tensione a monte del trasformatore. Il controllo del caricabatterie prima dell'utilizzo è misura essenziale a ridurre questo rischio. </w:t>
            </w:r>
          </w:p>
        </w:tc>
      </w:tr>
    </w:tbl>
    <w:p w14:paraId="35C9EE84" w14:textId="77777777" w:rsidR="007E59A5" w:rsidRDefault="007E59A5" w:rsidP="007E59A5">
      <w:pPr>
        <w:spacing w:after="29" w:line="259" w:lineRule="auto"/>
        <w:ind w:left="-29" w:right="-27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B33D4" wp14:editId="53A03883">
                <wp:extent cx="6158484" cy="6096"/>
                <wp:effectExtent l="0" t="0" r="0" b="0"/>
                <wp:docPr id="71282" name="Group 7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484" cy="6096"/>
                          <a:chOff x="0" y="0"/>
                          <a:chExt cx="6158484" cy="6096"/>
                        </a:xfrm>
                      </wpg:grpSpPr>
                      <wps:wsp>
                        <wps:cNvPr id="86569" name="Shape 86569"/>
                        <wps:cNvSpPr/>
                        <wps:spPr>
                          <a:xfrm>
                            <a:off x="0" y="0"/>
                            <a:ext cx="6158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484" h="9144">
                                <a:moveTo>
                                  <a:pt x="0" y="0"/>
                                </a:moveTo>
                                <a:lnTo>
                                  <a:pt x="6158484" y="0"/>
                                </a:lnTo>
                                <a:lnTo>
                                  <a:pt x="6158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5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1D078" id="Group 71282" o:spid="_x0000_s1026" style="width:484.9pt;height:.5pt;mso-position-horizontal-relative:char;mso-position-vertical-relative:line" coordsize="6158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VQdAIAAC8GAAAOAAAAZHJzL2Uyb0RvYy54bWykVNuO2jAQfa/Uf7D8XhIQsBARVmppeana&#10;1e72A4zjXCTHtmxD4O87nlzIstKqonlIHHvmeM7x+Gwez7UkJ2FdpVVKp5OYEqG4zipVpPTP648v&#10;K0qcZypjUiuR0otw9HH7+dOmMYmY6VLLTFgCIMoljUlp6b1JosjxUtTMTbQRChZzbWvm4dcWUWZZ&#10;A+i1jGZxvIwabTNjNRfOweyuXaRbxM9zwf3vPHfCE5lSqM3j2+L7EN7RdsOSwjJTVrwrg91RRc0q&#10;BZsOUDvmGTna6h1UXXGrnc79hOs60nlecYEcgM00vmGzt/pokEuRNIUZZAJpb3S6G5b/Ou2teTFP&#10;FpRoTAFa4F/gcs5tHb5QJTmjZJdBMnH2hMPkcrpYzVdzSjisLeP1slWUlyD7uyRefv8oLeq3jN4U&#10;0hhoDXdl7/6P/UvJjEBRXQLsnyypspSulovlmhLFamhSDCHtFMqCkYNILnGg110KrafzeVBooMoS&#10;fnR+LzQqzU4/nW9bMutHrOxH/Kz6oYXG/rClDfMhLxQZhqQZHVWZUqwjLNb6JF41hvmb84Iar6tS&#10;jaOGU+8bAmL7iP5rEG8cOSLfB/XfNhguKAD+Yxje3WFfGASeqOzAHSbH6koVZIBNOAOnySXzeGXr&#10;yoMFyaoG/5o9xPEVGNBC87WnjSN/kSKIJdWzyKFx8FqECWeLwzdpyYkFo8EHwZk0Jetmu4PvQrFU&#10;xAn5eSXlADnF1DeQu+ni6/yhQ+iCQ55Ajxsy4zaTd9W0Rgd2AaR7uwNRhiTcWSs/5CswadxkxDYM&#10;Dzq7oEWgIHAbURp0JeTROWiwvfE/Rl19fvsXAAD//wMAUEsDBBQABgAIAAAAIQCBuuvq2gAAAAMB&#10;AAAPAAAAZHJzL2Rvd25yZXYueG1sTI9BS8NAEIXvgv9hGcGb3USx2JhNKUU9FcFWEG/T7DQJzc6G&#10;7DZJ/72jF3sZeLzHm+/ly8m1aqA+NJ4NpLMEFHHpbcOVgc/d690TqBCRLbaeycCZAiyL66scM+tH&#10;/qBhGyslJRwyNFDH2GVah7Imh2HmO2LxDr53GEX2lbY9jlLuWn2fJHPtsGH5UGNH65rK4/bkDLyN&#10;OK4e0pdhczysz9+7x/evTUrG3N5Mq2dQkab4H4ZffEGHQpj2/sQ2qNaADIl/V7zFfCEz9hJKQBe5&#10;vmQvfgAAAP//AwBQSwECLQAUAAYACAAAACEAtoM4kv4AAADhAQAAEwAAAAAAAAAAAAAAAAAAAAAA&#10;W0NvbnRlbnRfVHlwZXNdLnhtbFBLAQItABQABgAIAAAAIQA4/SH/1gAAAJQBAAALAAAAAAAAAAAA&#10;AAAAAC8BAABfcmVscy8ucmVsc1BLAQItABQABgAIAAAAIQCDwTVQdAIAAC8GAAAOAAAAAAAAAAAA&#10;AAAAAC4CAABkcnMvZTJvRG9jLnhtbFBLAQItABQABgAIAAAAIQCBuuvq2gAAAAMBAAAPAAAAAAAA&#10;AAAAAAAAAM4EAABkcnMvZG93bnJldi54bWxQSwUGAAAAAAQABADzAAAA1QUAAAAA&#10;">
                <v:shape id="Shape 86569" o:spid="_x0000_s1027" style="position:absolute;width:61584;height:91;visibility:visible;mso-wrap-style:square;v-text-anchor:top" coordsize="6158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44xgAAAN4AAAAPAAAAZHJzL2Rvd25yZXYueG1sRI9Pi8Iw&#10;FMTvwn6H8Ba8aapg0WoUKYgevKx/Fry9bZ5tsXkpTdTst98sCB6HmfkNs1gF04gHda62rGA0TEAQ&#10;F1bXXCo4HTeDKQjnkTU2lknBLzlYLT96C8y0ffIXPQ6+FBHCLkMFlfdtJqUrKjLohrYljt7VdgZ9&#10;lF0pdYfPCDeNHCdJKg3WHBcqbCmvqLgd7kYBHpvdZZtvzxN33//cvvOwvlyDUv3PsJ6D8BT8O/xq&#10;77SCaTpJZ/B/J14BufwDAAD//wMAUEsBAi0AFAAGAAgAAAAhANvh9svuAAAAhQEAABMAAAAAAAAA&#10;AAAAAAAAAAAAAFtDb250ZW50X1R5cGVzXS54bWxQSwECLQAUAAYACAAAACEAWvQsW78AAAAVAQAA&#10;CwAAAAAAAAAAAAAAAAAfAQAAX3JlbHMvLnJlbHNQSwECLQAUAAYACAAAACEAm43+OMYAAADeAAAA&#10;DwAAAAAAAAAAAAAAAAAHAgAAZHJzL2Rvd25yZXYueG1sUEsFBgAAAAADAAMAtwAAAPoCAAAAAA==&#10;" path="m,l6158484,r,9144l,9144,,e" fillcolor="#d15b47" stroked="f" strokeweight="0">
                  <v:stroke miterlimit="83231f" joinstyle="miter"/>
                  <v:path arrowok="t" textboxrect="0,0,6158484,9144"/>
                </v:shape>
                <w10:anchorlock/>
              </v:group>
            </w:pict>
          </mc:Fallback>
        </mc:AlternateContent>
      </w:r>
    </w:p>
    <w:p w14:paraId="1ED01C24" w14:textId="77777777" w:rsidR="007E59A5" w:rsidRDefault="007E59A5" w:rsidP="007F4D5C">
      <w:pPr>
        <w:pStyle w:val="Titolo2"/>
      </w:pPr>
      <w:bookmarkStart w:id="3" w:name="_Toc222155059"/>
      <w:r>
        <w:t>DPI</w:t>
      </w:r>
      <w:bookmarkEnd w:id="3"/>
      <w:r>
        <w:t xml:space="preserve"> </w:t>
      </w:r>
    </w:p>
    <w:p w14:paraId="30D450EB" w14:textId="77777777" w:rsidR="007E59A5" w:rsidRDefault="007E59A5" w:rsidP="007E59A5">
      <w:pPr>
        <w:spacing w:after="212"/>
        <w:ind w:left="-5" w:right="6774"/>
      </w:pPr>
      <w:r>
        <w:t xml:space="preserve">Nessun DPI ritenuto necessario  </w:t>
      </w:r>
    </w:p>
    <w:bookmarkEnd w:id="0"/>
    <w:sectPr w:rsidR="007E59A5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D107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2026-02-18T09:32:00Z</dcterms:created>
  <dcterms:modified xsi:type="dcterms:W3CDTF">2026-02-18T09:32:00Z</dcterms:modified>
</cp:coreProperties>
</file>