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5E74" w14:textId="77777777" w:rsidR="005004C7" w:rsidRPr="007F4D5C" w:rsidRDefault="005004C7" w:rsidP="007F4D5C">
      <w:pPr>
        <w:pStyle w:val="Titolo1"/>
      </w:pPr>
      <w:bookmarkStart w:id="0" w:name="_Toc189737603"/>
      <w:bookmarkStart w:id="1" w:name="_Toc115862215"/>
      <w:bookmarkStart w:id="2" w:name="_Toc222155051"/>
      <w:r w:rsidRPr="007F4D5C">
        <w:t>Attrezzatura: TELEFONO CELLULARE</w:t>
      </w:r>
      <w:bookmarkEnd w:id="1"/>
      <w:bookmarkEnd w:id="2"/>
    </w:p>
    <w:p w14:paraId="34F654CB" w14:textId="77777777" w:rsidR="005004C7" w:rsidRDefault="005004C7" w:rsidP="005004C7">
      <w:pPr>
        <w:pStyle w:val="Titolo2"/>
      </w:pPr>
      <w:bookmarkStart w:id="3" w:name="_Toc115862216"/>
      <w:bookmarkStart w:id="4" w:name="_Toc222155052"/>
      <w:r>
        <w:t>Descrizione</w:t>
      </w:r>
      <w:bookmarkEnd w:id="3"/>
      <w:bookmarkEnd w:id="4"/>
    </w:p>
    <w:p w14:paraId="691FC29D" w14:textId="77777777" w:rsidR="005004C7" w:rsidRDefault="005004C7" w:rsidP="005004C7">
      <w:r>
        <w:t>Attrezzatura portatile alimentata elettricamente, per mezzo di batteria ricaricabile interna, utilizzata per comunicare. Lo strumento permette anche di leggere e inviare e-mail.</w:t>
      </w:r>
    </w:p>
    <w:p w14:paraId="0279FD32" w14:textId="77777777" w:rsidR="005004C7" w:rsidRDefault="005004C7" w:rsidP="005004C7"/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368"/>
        <w:gridCol w:w="3360"/>
        <w:gridCol w:w="3198"/>
      </w:tblGrid>
      <w:tr w:rsidR="005004C7" w14:paraId="5813E6DE" w14:textId="77777777" w:rsidTr="00342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07" w:type="dxa"/>
          </w:tcPr>
          <w:p w14:paraId="1CF319D1" w14:textId="77777777" w:rsidR="005004C7" w:rsidRDefault="005004C7" w:rsidP="003421FE">
            <w:r>
              <w:t>Individuazione dei rischi</w:t>
            </w:r>
          </w:p>
        </w:tc>
        <w:tc>
          <w:tcPr>
            <w:tcW w:w="5306" w:type="dxa"/>
          </w:tcPr>
          <w:p w14:paraId="353238AD" w14:textId="77777777" w:rsidR="005004C7" w:rsidRDefault="005004C7" w:rsidP="003421FE">
            <w:r>
              <w:t>Misure adottate</w:t>
            </w:r>
          </w:p>
        </w:tc>
        <w:tc>
          <w:tcPr>
            <w:tcW w:w="5307" w:type="dxa"/>
          </w:tcPr>
          <w:p w14:paraId="62B515D8" w14:textId="77777777" w:rsidR="005004C7" w:rsidRDefault="005004C7" w:rsidP="003421FE">
            <w:r>
              <w:t>Valutazione rischi residui</w:t>
            </w:r>
          </w:p>
        </w:tc>
      </w:tr>
      <w:tr w:rsidR="005004C7" w14:paraId="6E0FC6FB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5307" w:type="dxa"/>
          </w:tcPr>
          <w:p w14:paraId="0E8CC5F7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Campi elettromagnetici</w:t>
            </w:r>
            <w:r>
              <w:rPr>
                <w:sz w:val="18"/>
                <w:szCs w:val="18"/>
              </w:rPr>
              <w:t>: sebbene i dati epidemiologici siano contrastanti, lo IARC ritiene che i campi elettromagnetici derivanti dall'uso del cellulare siano da classificarsi come cancerogeni. Gli effetti sono proporzionali alla potenza del segnale, che è maggiore in fase di chiamata e quando il campo è debole, e inversamente proporzionale alla distanza.</w:t>
            </w:r>
          </w:p>
        </w:tc>
        <w:tc>
          <w:tcPr>
            <w:tcW w:w="5306" w:type="dxa"/>
          </w:tcPr>
          <w:p w14:paraId="49935D1C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lavoratori ricevono in dotazione auricolari da utilizzarsi per effettuare e ricevere le telefonate, avendo cura di tenere il cellulare lontano dalla testa.</w:t>
            </w:r>
          </w:p>
        </w:tc>
        <w:tc>
          <w:tcPr>
            <w:tcW w:w="5307" w:type="dxa"/>
          </w:tcPr>
          <w:p w14:paraId="3567E6D8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non può essere del tutto escluso, in particolare, nel caso in cui i lavoratori non dovessero impiegare in modo continuativo l'auricolare e dovessero utilizzare l'attrezzatura in condizioni di maggior rischio. I danni conseguenti sono di particolare gravità.</w:t>
            </w:r>
          </w:p>
        </w:tc>
      </w:tr>
      <w:tr w:rsidR="005004C7" w14:paraId="574FDA46" w14:textId="77777777" w:rsidTr="003421FE">
        <w:trPr>
          <w:cantSplit/>
          <w:jc w:val="center"/>
        </w:trPr>
        <w:tc>
          <w:tcPr>
            <w:tcW w:w="5307" w:type="dxa"/>
          </w:tcPr>
          <w:p w14:paraId="6E517534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il rischio si presenta al momento della manipolazione del caricabatterie alimentato a 220 V nel caso in cui si venga a contatto con superfici in tensione dei conduttori. Non si evidenzia, invece, il rischio di contatti indiretti in quanto i caricabatterie sono in materiale plastico.</w:t>
            </w:r>
          </w:p>
        </w:tc>
        <w:tc>
          <w:tcPr>
            <w:tcW w:w="5306" w:type="dxa"/>
          </w:tcPr>
          <w:p w14:paraId="460A4CFE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i punti in tensione sono resi inaccessibili per mezzo di protezioni fisse quali guaine e schermi in plastica. Sugli impianti sono installati dispositivi di sicurezza quali interruttori differenziali che determinano l'interruzione dell'alimentazione in caso di dispersioni significative.</w:t>
            </w:r>
          </w:p>
        </w:tc>
        <w:tc>
          <w:tcPr>
            <w:tcW w:w="5307" w:type="dxa"/>
          </w:tcPr>
          <w:p w14:paraId="143884EB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può evidenziarsi in caso di cedimento delle protezioni del caricabatterie ed eventuale contatto con punti in tensione a monte del trasformatore. Il controllo del caricabatterie prima dell'utilizzo è misura essenziale a ridurre questo rischio.</w:t>
            </w:r>
          </w:p>
        </w:tc>
      </w:tr>
    </w:tbl>
    <w:p w14:paraId="2D75A465" w14:textId="77777777" w:rsidR="005004C7" w:rsidRDefault="005004C7" w:rsidP="005004C7">
      <w:pPr>
        <w:pStyle w:val="Titolo2"/>
      </w:pPr>
      <w:bookmarkStart w:id="5" w:name="_Toc115852811"/>
      <w:bookmarkStart w:id="6" w:name="_Toc115862217"/>
      <w:bookmarkStart w:id="7" w:name="_Toc222155053"/>
      <w:r>
        <w:t>DPI</w:t>
      </w:r>
      <w:bookmarkEnd w:id="5"/>
      <w:bookmarkEnd w:id="6"/>
      <w:bookmarkEnd w:id="7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5004C7" w14:paraId="00820179" w14:textId="77777777" w:rsidTr="003421FE">
        <w:tc>
          <w:tcPr>
            <w:tcW w:w="15948" w:type="dxa"/>
          </w:tcPr>
          <w:p w14:paraId="15307EED" w14:textId="77777777" w:rsidR="005004C7" w:rsidRDefault="005004C7" w:rsidP="003421FE">
            <w:r>
              <w:t>Nessun DPI ritenuto necessario</w:t>
            </w:r>
          </w:p>
        </w:tc>
      </w:tr>
      <w:bookmarkEnd w:id="0"/>
    </w:tbl>
    <w:p w14:paraId="46BEEA0B" w14:textId="77777777" w:rsidR="007E59A5" w:rsidRPr="00EF4EFC" w:rsidRDefault="007E59A5" w:rsidP="00FB46AE"/>
    <w:sectPr w:rsidR="007E59A5" w:rsidRPr="00EF4EFC" w:rsidSect="00FB46AE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B46AE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2026-02-18T09:30:00Z</dcterms:created>
  <dcterms:modified xsi:type="dcterms:W3CDTF">2026-02-18T09:30:00Z</dcterms:modified>
</cp:coreProperties>
</file>