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ind w:firstLine="14"/>
        <w:rPr/>
      </w:pPr>
      <w:bookmarkStart w:colFirst="0" w:colLast="0" w:name="_heading=h.9bgakdqa0xhd" w:id="0"/>
      <w:bookmarkEnd w:id="0"/>
      <w:r w:rsidDel="00000000" w:rsidR="00000000" w:rsidRPr="00000000">
        <w:rPr>
          <w:rtl w:val="0"/>
        </w:rPr>
        <w:t xml:space="preserve">Ambiente di lavoro: UFFICIO</w:t>
      </w:r>
    </w:p>
    <w:p w:rsidR="00000000" w:rsidDel="00000000" w:rsidP="00000000" w:rsidRDefault="00000000" w:rsidRPr="00000000" w14:paraId="00000003">
      <w:pPr>
        <w:pStyle w:val="Heading3"/>
        <w:ind w:firstLine="140"/>
        <w:rPr/>
      </w:pPr>
      <w:bookmarkStart w:colFirst="0" w:colLast="0" w:name="_heading=h.iairt01f7pgp" w:id="1"/>
      <w:bookmarkEnd w:id="1"/>
      <w:r w:rsidDel="00000000" w:rsidR="00000000" w:rsidRPr="00000000">
        <w:rPr>
          <w:rtl w:val="0"/>
        </w:rPr>
      </w:r>
    </w:p>
    <w:p w:rsidR="00000000" w:rsidDel="00000000" w:rsidP="00000000" w:rsidRDefault="00000000" w:rsidRPr="00000000" w14:paraId="00000004">
      <w:pPr>
        <w:pStyle w:val="Heading2"/>
        <w:ind w:firstLine="140"/>
        <w:rPr/>
      </w:pPr>
      <w:bookmarkStart w:colFirst="0" w:colLast="0" w:name="_heading=h.395rlgkpyxh" w:id="2"/>
      <w:bookmarkEnd w:id="2"/>
      <w:r w:rsidDel="00000000" w:rsidR="00000000" w:rsidRPr="00000000">
        <w:rPr>
          <w:rtl w:val="0"/>
        </w:rPr>
        <w:t xml:space="preserve">Descrizione</w:t>
      </w:r>
    </w:p>
    <w:p w:rsidR="00000000" w:rsidDel="00000000" w:rsidP="00000000" w:rsidRDefault="00000000" w:rsidRPr="00000000" w14:paraId="00000005">
      <w:pPr>
        <w:spacing w:after="240" w:lineRule="auto"/>
        <w:rPr/>
      </w:pPr>
      <w:r w:rsidDel="00000000" w:rsidR="00000000" w:rsidRPr="00000000">
        <w:rPr>
          <w:rtl w:val="0"/>
        </w:rPr>
        <w:t xml:space="preserve">Si riportano di seguito i rischi correlati al transito e stazionamento all'interno dei locali adibiti ad ufficio. Al loro interno vengono svolte attività di carattere impiegatizio con l'uso di attrezzature munite di videoterminali. Non vengono considerati i rischi specifici legati all'attività svolta dal singolo operatore, riportati invece nelle schede di attività.</w:t>
      </w:r>
    </w:p>
    <w:tbl>
      <w:tblPr>
        <w:tblStyle w:val="Table1"/>
        <w:tblW w:w="10142.0" w:type="dxa"/>
        <w:jc w:val="center"/>
        <w:tblBorders>
          <w:insideH w:color="d15b47" w:space="0" w:sz="4" w:val="single"/>
          <w:insideV w:color="d15b47" w:space="0" w:sz="4" w:val="single"/>
        </w:tblBorders>
        <w:tblLayout w:type="fixed"/>
        <w:tblLook w:val="0420"/>
      </w:tblPr>
      <w:tblGrid>
        <w:gridCol w:w="3412"/>
        <w:gridCol w:w="3338"/>
        <w:gridCol w:w="3392"/>
        <w:tblGridChange w:id="0">
          <w:tblGrid>
            <w:gridCol w:w="3412"/>
            <w:gridCol w:w="3338"/>
            <w:gridCol w:w="3392"/>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Individuazione dei rischi</w:t>
            </w:r>
          </w:p>
        </w:tc>
        <w:tc>
          <w:tcPr/>
          <w:p w:rsidR="00000000" w:rsidDel="00000000" w:rsidP="00000000" w:rsidRDefault="00000000" w:rsidRPr="00000000" w14:paraId="00000007">
            <w:pPr>
              <w:rPr/>
            </w:pPr>
            <w:r w:rsidDel="00000000" w:rsidR="00000000" w:rsidRPr="00000000">
              <w:rPr>
                <w:rtl w:val="0"/>
              </w:rPr>
              <w:t xml:space="preserve">Misure adottate</w:t>
            </w:r>
          </w:p>
        </w:tc>
        <w:tc>
          <w:tcPr/>
          <w:p w:rsidR="00000000" w:rsidDel="00000000" w:rsidP="00000000" w:rsidRDefault="00000000" w:rsidRPr="00000000" w14:paraId="00000008">
            <w:pPr>
              <w:rPr/>
            </w:pPr>
            <w:r w:rsidDel="00000000" w:rsidR="00000000" w:rsidRPr="00000000">
              <w:rPr>
                <w:rtl w:val="0"/>
              </w:rPr>
              <w:t xml:space="preserve">Valutazione rischi residui</w:t>
            </w:r>
          </w:p>
        </w:tc>
      </w:tr>
      <w:tr>
        <w:trPr>
          <w:cantSplit w:val="0"/>
          <w:tblHeader w:val="0"/>
        </w:trPr>
        <w:tc>
          <w:tcPr/>
          <w:p w:rsidR="00000000" w:rsidDel="00000000" w:rsidP="00000000" w:rsidRDefault="00000000" w:rsidRPr="00000000" w14:paraId="00000009">
            <w:pPr>
              <w:rPr>
                <w:sz w:val="18"/>
                <w:szCs w:val="18"/>
              </w:rPr>
            </w:pPr>
            <w:r w:rsidDel="00000000" w:rsidR="00000000" w:rsidRPr="00000000">
              <w:rPr>
                <w:b w:val="1"/>
                <w:bCs w:val="1"/>
                <w:sz w:val="18"/>
                <w:szCs w:val="18"/>
                <w:rtl w:val="0"/>
              </w:rPr>
              <w:t xml:space="preserve">Urti</w:t>
            </w:r>
            <w:r w:rsidDel="00000000" w:rsidR="00000000" w:rsidRPr="00000000">
              <w:rPr>
                <w:sz w:val="18"/>
                <w:szCs w:val="18"/>
                <w:rtl w:val="0"/>
              </w:rPr>
              <w:t xml:space="preserve">: contro arredi e strutture presenti all'interno dell'ambiente di lavoro.</w:t>
            </w:r>
          </w:p>
        </w:tc>
        <w:tc>
          <w:tcPr/>
          <w:p w:rsidR="00000000" w:rsidDel="00000000" w:rsidP="00000000" w:rsidRDefault="00000000" w:rsidRPr="00000000" w14:paraId="0000000A">
            <w:pPr>
              <w:rPr>
                <w:sz w:val="18"/>
                <w:szCs w:val="18"/>
              </w:rPr>
            </w:pPr>
            <w:r w:rsidDel="00000000" w:rsidR="00000000" w:rsidRPr="00000000">
              <w:rPr>
                <w:sz w:val="18"/>
                <w:szCs w:val="18"/>
                <w:rtl w:val="0"/>
              </w:rPr>
              <w:t xml:space="preserve">Le postazioni di lavoro sono state sistemate in maniera da lasciare spazio sufficiente al transito in sicurezza, all'interno dei locali e presso le postazioni stesse.</w:t>
              <w:br w:type="textWrapping"/>
              <w:t xml:space="preserve">Gli arredi, presentano bordi arrotondati.</w:t>
            </w:r>
          </w:p>
        </w:tc>
        <w:tc>
          <w:tcPr/>
          <w:p w:rsidR="00000000" w:rsidDel="00000000" w:rsidP="00000000" w:rsidRDefault="00000000" w:rsidRPr="00000000" w14:paraId="0000000B">
            <w:pPr>
              <w:rPr>
                <w:sz w:val="18"/>
                <w:szCs w:val="18"/>
              </w:rPr>
            </w:pPr>
            <w:r w:rsidDel="00000000" w:rsidR="00000000" w:rsidRPr="00000000">
              <w:rPr>
                <w:sz w:val="18"/>
                <w:szCs w:val="18"/>
                <w:rtl w:val="0"/>
              </w:rPr>
              <w:t xml:space="preserve">Incidenti di questo tipo si possono verificare in caso di disattenzione da parte dei lavoratori nel transitare all'interno dei locali.</w:t>
              <w:br w:type="textWrapping"/>
              <w:t xml:space="preserve">In caso di incidente, difficilmente si possono avere conseguenze significative tali da poter determinare un'assenza dal lavoro.</w:t>
            </w:r>
          </w:p>
        </w:tc>
      </w:tr>
      <w:tr>
        <w:trPr>
          <w:cantSplit w:val="0"/>
          <w:tblHeader w:val="0"/>
        </w:trPr>
        <w:tc>
          <w:tcPr/>
          <w:p w:rsidR="00000000" w:rsidDel="00000000" w:rsidP="00000000" w:rsidRDefault="00000000" w:rsidRPr="00000000" w14:paraId="0000000C">
            <w:pPr>
              <w:rPr>
                <w:sz w:val="18"/>
                <w:szCs w:val="18"/>
              </w:rPr>
            </w:pPr>
            <w:r w:rsidDel="00000000" w:rsidR="00000000" w:rsidRPr="00000000">
              <w:rPr>
                <w:b w:val="1"/>
                <w:bCs w:val="1"/>
                <w:sz w:val="18"/>
                <w:szCs w:val="18"/>
                <w:rtl w:val="0"/>
              </w:rPr>
              <w:t xml:space="preserve">Comfort microclimatico</w:t>
            </w:r>
            <w:r w:rsidDel="00000000" w:rsidR="00000000" w:rsidRPr="00000000">
              <w:rPr>
                <w:sz w:val="18"/>
                <w:szCs w:val="18"/>
                <w:rtl w:val="0"/>
              </w:rPr>
              <w:t xml:space="preserve">: la permanenza all'interno dell'ambiente di lavoro in caso di condizioni microclimatiche non confortevoli può determire rischi per la salute.</w:t>
            </w:r>
          </w:p>
        </w:tc>
        <w:tc>
          <w:tcPr/>
          <w:p w:rsidR="00000000" w:rsidDel="00000000" w:rsidP="00000000" w:rsidRDefault="00000000" w:rsidRPr="00000000" w14:paraId="0000000D">
            <w:pPr>
              <w:rPr>
                <w:sz w:val="18"/>
                <w:szCs w:val="18"/>
              </w:rPr>
            </w:pPr>
            <w:r w:rsidDel="00000000" w:rsidR="00000000" w:rsidRPr="00000000">
              <w:rPr>
                <w:sz w:val="18"/>
                <w:szCs w:val="18"/>
                <w:rtl w:val="0"/>
              </w:rPr>
              <w:t xml:space="preserve">Sono presenti finestre apribili o impianto di aerazione volto a permettere un adeguato ricambio e condizionamento dell'aria finalizzato al mantenimento dei livelli adeguati di microclima.</w:t>
            </w:r>
          </w:p>
        </w:tc>
        <w:tc>
          <w:tcPr/>
          <w:p w:rsidR="00000000" w:rsidDel="00000000" w:rsidP="00000000" w:rsidRDefault="00000000" w:rsidRPr="00000000" w14:paraId="0000000E">
            <w:pPr>
              <w:rPr>
                <w:sz w:val="18"/>
                <w:szCs w:val="18"/>
              </w:rPr>
            </w:pPr>
            <w:r w:rsidDel="00000000" w:rsidR="00000000" w:rsidRPr="00000000">
              <w:rPr>
                <w:sz w:val="18"/>
                <w:szCs w:val="18"/>
                <w:rtl w:val="0"/>
              </w:rPr>
              <w:t xml:space="preserve">Il rischio può presentarsi solo in caso di mancato funzionamento dell'impianto, condizione riducibile mediante adozione di un piano di manutenzione adeguato in conformità alle indicazioni del produttore.</w:t>
            </w:r>
          </w:p>
        </w:tc>
      </w:tr>
      <w:tr>
        <w:trPr>
          <w:cantSplit w:val="0"/>
          <w:tblHeader w:val="0"/>
        </w:trPr>
        <w:tc>
          <w:tcPr/>
          <w:p w:rsidR="00000000" w:rsidDel="00000000" w:rsidP="00000000" w:rsidRDefault="00000000" w:rsidRPr="00000000" w14:paraId="0000000F">
            <w:pPr>
              <w:rPr>
                <w:sz w:val="18"/>
                <w:szCs w:val="18"/>
              </w:rPr>
            </w:pPr>
            <w:r w:rsidDel="00000000" w:rsidR="00000000" w:rsidRPr="00000000">
              <w:rPr>
                <w:b w:val="1"/>
                <w:bCs w:val="1"/>
                <w:sz w:val="18"/>
                <w:szCs w:val="18"/>
                <w:rtl w:val="0"/>
              </w:rPr>
              <w:t xml:space="preserve">Elettrocuzioni</w:t>
            </w:r>
            <w:r w:rsidDel="00000000" w:rsidR="00000000" w:rsidRPr="00000000">
              <w:rPr>
                <w:sz w:val="18"/>
                <w:szCs w:val="18"/>
                <w:rtl w:val="0"/>
              </w:rPr>
              <w:t xml:space="preserve">: la presenza di impianto elettrico e di attrezzature alimentate elettricamente non permette di escludere la possibilità di contatti diretti o indiretti con punti in tensione.</w:t>
            </w:r>
          </w:p>
        </w:tc>
        <w:tc>
          <w:tcPr/>
          <w:p w:rsidR="00000000" w:rsidDel="00000000" w:rsidP="00000000" w:rsidRDefault="00000000" w:rsidRPr="00000000" w14:paraId="00000010">
            <w:pPr>
              <w:rPr>
                <w:sz w:val="18"/>
                <w:szCs w:val="18"/>
              </w:rPr>
            </w:pPr>
            <w:r w:rsidDel="00000000" w:rsidR="00000000" w:rsidRPr="00000000">
              <w:rPr>
                <w:sz w:val="18"/>
                <w:szCs w:val="18"/>
                <w:rtl w:val="0"/>
              </w:rPr>
              <w:t xml:space="preserve">Tutti i punti in tensione dell'impianto elettrico sono stati resi inaccessibili per mezzo di protezioni fisse (schermi, guaine e canaline). Inoltre, i conduttori vengono fatti passare all'interno dei pavimenti, delle pareti o delle controsoffittature.</w:t>
              <w:br w:type="textWrapping"/>
              <w:t xml:space="preserve">E' stato installato impianto di messa a terra in modo da prevenire il rischio di contatti indiretti.</w:t>
              <w:br w:type="textWrapping"/>
              <w:t xml:space="preserve">La presenza di interruttore differenziale, risulta essere misura idonea alla riduzione dei danni correlabili a contatti accidentali con punti in tensione.</w:t>
            </w:r>
          </w:p>
        </w:tc>
        <w:tc>
          <w:tcPr/>
          <w:p w:rsidR="00000000" w:rsidDel="00000000" w:rsidP="00000000" w:rsidRDefault="00000000" w:rsidRPr="00000000" w14:paraId="00000011">
            <w:pPr>
              <w:rPr>
                <w:sz w:val="18"/>
                <w:szCs w:val="18"/>
              </w:rPr>
            </w:pPr>
            <w:r w:rsidDel="00000000" w:rsidR="00000000" w:rsidRPr="00000000">
              <w:rPr>
                <w:sz w:val="18"/>
                <w:szCs w:val="18"/>
                <w:rtl w:val="0"/>
              </w:rPr>
              <w:t xml:space="preserve">In considerazione delle misure adottate, si può escludere la possibilità di contatti accidentali con punti in tensione, a meno di rimozione delle protezioni ai conduttori, o in caso di manomissioni dei sistemi di sicurezza, tra cui l'impianto di messa a terra e l'interruttore differenziale.</w:t>
              <w:br w:type="textWrapping"/>
              <w:t xml:space="preserve">Informare i lavoratori dei rischi correlabili alla presenza di impianto elettrico è da ritenere misura utile alla riduzione del rischio, così come la predisposizione di procedure e registro dei controlli da effettuare periodicamente al fine di evidenziare eventuali anomalie.</w:t>
            </w:r>
          </w:p>
        </w:tc>
      </w:tr>
      <w:tr>
        <w:trPr>
          <w:cantSplit w:val="0"/>
          <w:tblHeader w:val="0"/>
        </w:trPr>
        <w:tc>
          <w:tcPr/>
          <w:p w:rsidR="00000000" w:rsidDel="00000000" w:rsidP="00000000" w:rsidRDefault="00000000" w:rsidRPr="00000000" w14:paraId="00000012">
            <w:pPr>
              <w:rPr>
                <w:sz w:val="18"/>
                <w:szCs w:val="18"/>
              </w:rPr>
            </w:pPr>
            <w:r w:rsidDel="00000000" w:rsidR="00000000" w:rsidRPr="00000000">
              <w:rPr>
                <w:b w:val="1"/>
                <w:bCs w:val="1"/>
                <w:sz w:val="18"/>
                <w:szCs w:val="18"/>
                <w:rtl w:val="0"/>
              </w:rPr>
              <w:t xml:space="preserve">Scivolamenti</w:t>
            </w:r>
            <w:r w:rsidDel="00000000" w:rsidR="00000000" w:rsidRPr="00000000">
              <w:rPr>
                <w:sz w:val="18"/>
                <w:szCs w:val="18"/>
                <w:rtl w:val="0"/>
              </w:rPr>
              <w:t xml:space="preserve">: rischio possibile in caso di versamento a terra di materiale liquido, quali bevande ecc.</w:t>
              <w:br w:type="textWrapping"/>
              <w:t xml:space="preserve">Durante le operazioni di pulizia, non si possono escludere scivolamenti correlabili alla presenza a terra di liquidi.</w:t>
            </w:r>
          </w:p>
        </w:tc>
        <w:tc>
          <w:tcPr/>
          <w:p w:rsidR="00000000" w:rsidDel="00000000" w:rsidP="00000000" w:rsidRDefault="00000000" w:rsidRPr="00000000" w14:paraId="00000013">
            <w:pPr>
              <w:rPr>
                <w:sz w:val="18"/>
                <w:szCs w:val="18"/>
              </w:rPr>
            </w:pPr>
            <w:r w:rsidDel="00000000" w:rsidR="00000000" w:rsidRPr="00000000">
              <w:rPr>
                <w:sz w:val="18"/>
                <w:szCs w:val="18"/>
                <w:rtl w:val="0"/>
              </w:rPr>
              <w:t xml:space="preserve">Il pavimento degli uffici è in materiale dotato di caratteristiche antiscivolamento.</w:t>
              <w:br w:type="textWrapping"/>
              <w:t xml:space="preserve">La consumazione di bevande, è prevista solo nell'area a tal scopo individuata, in modo da prevenire il versamento a terra di liquidi in aree di transito.</w:t>
              <w:br w:type="textWrapping"/>
              <w:t xml:space="preserve">I lavoratori vengono informati della necessità di provvedere, in caso di versamento a terra di materiale liquido, di intervenire tempestivamente per la sua rimozione. Durante la pulizia dei locali, vengono installati pannelli segnalatori atti ad indicare la zona oggetto dell'intervento. I lavoratori sono stati informati della necessità di indossare scarpe comode con suola in gomma.</w:t>
            </w:r>
          </w:p>
        </w:tc>
        <w:tc>
          <w:tcPr/>
          <w:p w:rsidR="00000000" w:rsidDel="00000000" w:rsidP="00000000" w:rsidRDefault="00000000" w:rsidRPr="00000000" w14:paraId="00000014">
            <w:pPr>
              <w:rPr>
                <w:sz w:val="18"/>
                <w:szCs w:val="18"/>
              </w:rPr>
            </w:pPr>
            <w:r w:rsidDel="00000000" w:rsidR="00000000" w:rsidRPr="00000000">
              <w:rPr>
                <w:sz w:val="18"/>
                <w:szCs w:val="18"/>
                <w:rtl w:val="0"/>
              </w:rPr>
              <w:t xml:space="preserve">Non si può escludere la possibilità che si verifichino eventi di questo tipo. Tuttavia, la tipologia di pavimento presente, fa sì che il rischio stesso sia da considerarsi contenuto.</w:t>
              <w:br w:type="textWrapping"/>
              <w:t xml:space="preserve">In via generale, eventuali incidenti non dovrebbero avere conseguenze particolarmente gravi.</w:t>
            </w:r>
          </w:p>
        </w:tc>
      </w:tr>
      <w:tr>
        <w:trPr>
          <w:cantSplit w:val="0"/>
          <w:tblHeader w:val="0"/>
        </w:trPr>
        <w:tc>
          <w:tcPr/>
          <w:p w:rsidR="00000000" w:rsidDel="00000000" w:rsidP="00000000" w:rsidRDefault="00000000" w:rsidRPr="00000000" w14:paraId="00000015">
            <w:pPr>
              <w:rPr>
                <w:sz w:val="18"/>
                <w:szCs w:val="18"/>
              </w:rPr>
            </w:pPr>
            <w:r w:rsidDel="00000000" w:rsidR="00000000" w:rsidRPr="00000000">
              <w:rPr>
                <w:b w:val="1"/>
                <w:bCs w:val="1"/>
                <w:sz w:val="18"/>
                <w:szCs w:val="18"/>
                <w:rtl w:val="0"/>
              </w:rPr>
              <w:t xml:space="preserve">Cadute a livello</w:t>
            </w:r>
            <w:r w:rsidDel="00000000" w:rsidR="00000000" w:rsidRPr="00000000">
              <w:rPr>
                <w:sz w:val="18"/>
                <w:szCs w:val="18"/>
                <w:rtl w:val="0"/>
              </w:rPr>
              <w:t xml:space="preserve">: possibili per contatto accidentale con materiale impropriamente abbandonato a terra (borse, valigette ecc.). Eventi di questo tipo potrebbero anche essere correlate al contatto con prolunghe che attraversino zone di transito.</w:t>
            </w:r>
          </w:p>
        </w:tc>
        <w:tc>
          <w:tcPr/>
          <w:p w:rsidR="00000000" w:rsidDel="00000000" w:rsidP="00000000" w:rsidRDefault="00000000" w:rsidRPr="00000000" w14:paraId="00000016">
            <w:pPr>
              <w:rPr>
                <w:sz w:val="18"/>
                <w:szCs w:val="18"/>
              </w:rPr>
            </w:pPr>
            <w:r w:rsidDel="00000000" w:rsidR="00000000" w:rsidRPr="00000000">
              <w:rPr>
                <w:sz w:val="18"/>
                <w:szCs w:val="18"/>
                <w:rtl w:val="0"/>
              </w:rPr>
              <w:t xml:space="preserve">Nei pressi delle postazioni di lavoro, sono stati sistemati armadi e cassettiere atti a contenere tutto il materiale non in uso evitando così di doverli abbandonare a terra.</w:t>
              <w:br w:type="textWrapping"/>
              <w:t xml:space="preserve">Sono state installate prese nei pressi delle postazioni di lavoro in modo da evitare, per quanto possibile, l'uso di prolunghe che possano provocare cadute a livello.</w:t>
              <w:br w:type="textWrapping"/>
              <w:t xml:space="preserve">I cavi di alimentazione e collegamento, quando possibile, vengono raccolti.</w:t>
            </w:r>
          </w:p>
        </w:tc>
        <w:tc>
          <w:tcPr/>
          <w:p w:rsidR="00000000" w:rsidDel="00000000" w:rsidP="00000000" w:rsidRDefault="00000000" w:rsidRPr="00000000" w14:paraId="00000017">
            <w:pPr>
              <w:rPr>
                <w:sz w:val="18"/>
                <w:szCs w:val="18"/>
              </w:rPr>
            </w:pPr>
            <w:r w:rsidDel="00000000" w:rsidR="00000000" w:rsidRPr="00000000">
              <w:rPr>
                <w:sz w:val="18"/>
                <w:szCs w:val="18"/>
                <w:rtl w:val="0"/>
              </w:rPr>
              <w:t xml:space="preserve">Rischio non escludibile in caso di mancato rispetto delle norme aziendali riguardanti lo stoccaggio del materiale all'interno dei locali.</w:t>
              <w:br w:type="textWrapping"/>
              <w:t xml:space="preserve">I danni che si possono generare sono da ritenersi complessivamente contenuti.</w:t>
            </w:r>
          </w:p>
        </w:tc>
      </w:tr>
      <w:tr>
        <w:trPr>
          <w:cantSplit w:val="0"/>
          <w:tblHeader w:val="0"/>
        </w:trPr>
        <w:tc>
          <w:tcPr/>
          <w:p w:rsidR="00000000" w:rsidDel="00000000" w:rsidP="00000000" w:rsidRDefault="00000000" w:rsidRPr="00000000" w14:paraId="00000018">
            <w:pPr>
              <w:rPr>
                <w:sz w:val="18"/>
                <w:szCs w:val="18"/>
              </w:rPr>
            </w:pPr>
            <w:r w:rsidDel="00000000" w:rsidR="00000000" w:rsidRPr="00000000">
              <w:rPr>
                <w:b w:val="1"/>
                <w:bCs w:val="1"/>
                <w:sz w:val="18"/>
                <w:szCs w:val="18"/>
                <w:rtl w:val="0"/>
              </w:rPr>
              <w:t xml:space="preserve">Schiacciamenti</w:t>
            </w:r>
            <w:r w:rsidDel="00000000" w:rsidR="00000000" w:rsidRPr="00000000">
              <w:rPr>
                <w:sz w:val="18"/>
                <w:szCs w:val="18"/>
                <w:rtl w:val="0"/>
              </w:rPr>
              <w:t xml:space="preserve">: correlabili a caduta di materiale dalle scrivanie o dagli armadi.</w:t>
            </w:r>
          </w:p>
        </w:tc>
        <w:tc>
          <w:tcPr/>
          <w:p w:rsidR="00000000" w:rsidDel="00000000" w:rsidP="00000000" w:rsidRDefault="00000000" w:rsidRPr="00000000" w14:paraId="00000019">
            <w:pPr>
              <w:rPr>
                <w:sz w:val="18"/>
                <w:szCs w:val="18"/>
              </w:rPr>
            </w:pPr>
            <w:r w:rsidDel="00000000" w:rsidR="00000000" w:rsidRPr="00000000">
              <w:rPr>
                <w:sz w:val="18"/>
                <w:szCs w:val="18"/>
                <w:rtl w:val="0"/>
              </w:rPr>
              <w:t xml:space="preserve">All'interno dei locali, sono stati sistemati armadi e cassettiere atte a raccogliere tutto il materiale non necessario evitando così di doverlo lasciare sulle scrivanie.</w:t>
              <w:br w:type="textWrapping"/>
              <w:t xml:space="preserve">All'interno degli armadi, i lavoratori sistemano sui ripiani più bassi il materiale maggiormente pesante.</w:t>
            </w:r>
          </w:p>
        </w:tc>
        <w:tc>
          <w:tcPr/>
          <w:p w:rsidR="00000000" w:rsidDel="00000000" w:rsidP="00000000" w:rsidRDefault="00000000" w:rsidRPr="00000000" w14:paraId="0000001A">
            <w:pPr>
              <w:rPr>
                <w:sz w:val="18"/>
                <w:szCs w:val="18"/>
              </w:rPr>
            </w:pPr>
            <w:r w:rsidDel="00000000" w:rsidR="00000000" w:rsidRPr="00000000">
              <w:rPr>
                <w:sz w:val="18"/>
                <w:szCs w:val="18"/>
                <w:rtl w:val="0"/>
              </w:rPr>
              <w:t xml:space="preserve">Sebbene tale rischio non possa essere escluso, il rischio è da ritenersi molto contenuto in considerazione del peso medio degli oggetti presenti in ufficio.</w:t>
            </w:r>
          </w:p>
        </w:tc>
      </w:tr>
      <w:tr>
        <w:trPr>
          <w:cantSplit w:val="0"/>
          <w:tblHeader w:val="0"/>
        </w:trPr>
        <w:tc>
          <w:tcPr/>
          <w:p w:rsidR="00000000" w:rsidDel="00000000" w:rsidP="00000000" w:rsidRDefault="00000000" w:rsidRPr="00000000" w14:paraId="0000001B">
            <w:pPr>
              <w:rPr>
                <w:sz w:val="18"/>
                <w:szCs w:val="18"/>
              </w:rPr>
            </w:pPr>
            <w:r w:rsidDel="00000000" w:rsidR="00000000" w:rsidRPr="00000000">
              <w:rPr>
                <w:b w:val="1"/>
                <w:bCs w:val="1"/>
                <w:sz w:val="18"/>
                <w:szCs w:val="18"/>
                <w:rtl w:val="0"/>
              </w:rPr>
              <w:t xml:space="preserve">Rischio biologico</w:t>
            </w:r>
            <w:r w:rsidDel="00000000" w:rsidR="00000000" w:rsidRPr="00000000">
              <w:rPr>
                <w:sz w:val="18"/>
                <w:szCs w:val="18"/>
                <w:rtl w:val="0"/>
              </w:rPr>
              <w:t xml:space="preserve">: la presenza di impianto di condizionamento e impianto idrico, non permette di escludere la possibilità di esposizione dei lavoratori a tale rischio in caso di scarsa manutenzione e pulizia dell'impianto termico e delle tubazioni dell'impianto idrico.</w:t>
            </w:r>
          </w:p>
        </w:tc>
        <w:tc>
          <w:tcPr/>
          <w:p w:rsidR="00000000" w:rsidDel="00000000" w:rsidP="00000000" w:rsidRDefault="00000000" w:rsidRPr="00000000" w14:paraId="0000001C">
            <w:pPr>
              <w:rPr>
                <w:sz w:val="18"/>
                <w:szCs w:val="18"/>
              </w:rPr>
            </w:pPr>
            <w:r w:rsidDel="00000000" w:rsidR="00000000" w:rsidRPr="00000000">
              <w:rPr>
                <w:sz w:val="18"/>
                <w:szCs w:val="18"/>
                <w:rtl w:val="0"/>
              </w:rPr>
              <w:t xml:space="preserve">Gli impianti di acclimamento vengono periodicamente verificati e/o manutenuti, come anche da indicazioni del fabbricante, in modo da eliminare qualsiasi accumulo di microorganismi. La manutenzione dell'impianto idrico e termico è anch'essa misura efficace al contenimento del rischio.</w:t>
            </w:r>
          </w:p>
        </w:tc>
        <w:tc>
          <w:tcPr/>
          <w:p w:rsidR="00000000" w:rsidDel="00000000" w:rsidP="00000000" w:rsidRDefault="00000000" w:rsidRPr="00000000" w14:paraId="0000001D">
            <w:pPr>
              <w:rPr>
                <w:sz w:val="18"/>
                <w:szCs w:val="18"/>
              </w:rPr>
            </w:pPr>
            <w:r w:rsidDel="00000000" w:rsidR="00000000" w:rsidRPr="00000000">
              <w:rPr>
                <w:sz w:val="18"/>
                <w:szCs w:val="18"/>
                <w:rtl w:val="0"/>
              </w:rPr>
              <w:t xml:space="preserve">Il rischio è da ritenersi escluso, a meno di mancata esecuzione dei necessari interventi di manutenzione e sanificazione periodica. Anche in questi casi, i controlli periodici fanno sì che vengano individuati tempestivamente eventuali comportamenti non corretti.</w:t>
            </w:r>
          </w:p>
        </w:tc>
      </w:tr>
      <w:tr>
        <w:trPr>
          <w:cantSplit w:val="0"/>
          <w:tblHeader w:val="0"/>
        </w:trPr>
        <w:tc>
          <w:tcPr/>
          <w:p w:rsidR="00000000" w:rsidDel="00000000" w:rsidP="00000000" w:rsidRDefault="00000000" w:rsidRPr="00000000" w14:paraId="0000001E">
            <w:pPr>
              <w:rPr>
                <w:sz w:val="18"/>
                <w:szCs w:val="18"/>
              </w:rPr>
            </w:pPr>
            <w:r w:rsidDel="00000000" w:rsidR="00000000" w:rsidRPr="00000000">
              <w:rPr>
                <w:b w:val="1"/>
                <w:bCs w:val="1"/>
                <w:sz w:val="18"/>
                <w:szCs w:val="18"/>
                <w:rtl w:val="0"/>
              </w:rPr>
              <w:t xml:space="preserve">Rischio incendio</w:t>
            </w:r>
            <w:r w:rsidDel="00000000" w:rsidR="00000000" w:rsidRPr="00000000">
              <w:rPr>
                <w:sz w:val="18"/>
                <w:szCs w:val="18"/>
                <w:rtl w:val="0"/>
              </w:rPr>
              <w:t xml:space="preserve">: all'interno degli uffici sono presenti materiali combustibili quali carta, plastica e legno. Per la pulizia dei locali possono essere impiegati anche agenti classificati infiammabili in quanto a base alcoolica. Tra le possibili sorgenti di innesco si individuano guasti elettrici o sovraccarichi che possono determinare l'ignizione delle guaine o scintille correlabili a cortocircuiti.</w:t>
            </w:r>
          </w:p>
        </w:tc>
        <w:tc>
          <w:tcPr/>
          <w:p w:rsidR="00000000" w:rsidDel="00000000" w:rsidP="00000000" w:rsidRDefault="00000000" w:rsidRPr="00000000" w14:paraId="0000001F">
            <w:pPr>
              <w:rPr>
                <w:sz w:val="18"/>
                <w:szCs w:val="18"/>
              </w:rPr>
            </w:pPr>
            <w:r w:rsidDel="00000000" w:rsidR="00000000" w:rsidRPr="00000000">
              <w:rPr>
                <w:sz w:val="18"/>
                <w:szCs w:val="18"/>
                <w:rtl w:val="0"/>
              </w:rPr>
              <w:t xml:space="preserve">All'interno dei locali di lavoro il quantitativo di materiale combustibile viene ridotto al minimo. Tale obiettivo viene perseguito stoccando tutto il materiale non necessario, all'interno di appositi locali quali archivi o magazzinetti.</w:t>
              <w:br w:type="textWrapping"/>
              <w:t xml:space="preserve">L'impianto elettrico è dotato di sistemi di sicurezza atti ad evitare sovraccarichi o, in caso di guasti e dispersioni, provvedono ad interrompere l'alimentazione.</w:t>
              <w:br w:type="textWrapping"/>
              <w:t xml:space="preserve">All'interno dei locali sono stati installati estintori portatili in modo da permettere ai lavoratori di poter intervenire tempestivamente in caso di emergenza.</w:t>
            </w:r>
          </w:p>
        </w:tc>
        <w:tc>
          <w:tcPr/>
          <w:p w:rsidR="00000000" w:rsidDel="00000000" w:rsidP="00000000" w:rsidRDefault="00000000" w:rsidRPr="00000000" w14:paraId="00000020">
            <w:pPr>
              <w:rPr>
                <w:sz w:val="18"/>
                <w:szCs w:val="18"/>
              </w:rPr>
            </w:pPr>
            <w:r w:rsidDel="00000000" w:rsidR="00000000" w:rsidRPr="00000000">
              <w:rPr>
                <w:sz w:val="18"/>
                <w:szCs w:val="18"/>
                <w:rtl w:val="0"/>
              </w:rPr>
              <w:t xml:space="preserve">Sebbene il rischio non possa essere del tutto escluso, la tipologia di attività svolta non presenta specifici pericoli di incendio.</w:t>
              <w:br w:type="textWrapping"/>
              <w:t xml:space="preserve">L'informazione dei lavoratori, oltre al costante controllo delle condizioni di sicurezza nei locali (es. percorribilità delle vie di esodo), dell'impianto elettrico e dei sistemi di estinzione è misura utile alla ulteriore riduzione del rischio.</w:t>
            </w:r>
          </w:p>
        </w:tc>
      </w:tr>
      <w:tr>
        <w:trPr>
          <w:cantSplit w:val="0"/>
          <w:tblHeader w:val="0"/>
        </w:trPr>
        <w:tc>
          <w:tcPr/>
          <w:p w:rsidR="00000000" w:rsidDel="00000000" w:rsidP="00000000" w:rsidRDefault="00000000" w:rsidRPr="00000000" w14:paraId="00000021">
            <w:pPr>
              <w:rPr>
                <w:sz w:val="18"/>
                <w:szCs w:val="18"/>
              </w:rPr>
            </w:pPr>
            <w:r w:rsidDel="00000000" w:rsidR="00000000" w:rsidRPr="00000000">
              <w:rPr>
                <w:b w:val="1"/>
                <w:bCs w:val="1"/>
                <w:sz w:val="18"/>
                <w:szCs w:val="18"/>
                <w:rtl w:val="0"/>
              </w:rPr>
              <w:t xml:space="preserve">Rischio chimico</w:t>
            </w:r>
            <w:r w:rsidDel="00000000" w:rsidR="00000000" w:rsidRPr="00000000">
              <w:rPr>
                <w:sz w:val="18"/>
                <w:szCs w:val="18"/>
                <w:rtl w:val="0"/>
              </w:rPr>
              <w:t xml:space="preserve">: all'interno dei locali sono presenti stampanti a getto d'inchiostro, laser e fotocopiatrici. All'interno di queste attrezzature avvengono processi fisici e chimici che possono determinare il liberarsi nel locale anche di composti organici volatili, polveri fini ecc. La quantità e tipologia di prodotti emessi dipendono dalla tecnologia di stampa utilizzata, dal tipo di carta impiegata e dalla corretta manutenzione delle macchine. Per quanto concerne l'ozono, emesso dalle stampanti aventi tecnologie superate, questo è praticamente anato.</w:t>
            </w:r>
          </w:p>
        </w:tc>
        <w:tc>
          <w:tcPr/>
          <w:p w:rsidR="00000000" w:rsidDel="00000000" w:rsidP="00000000" w:rsidRDefault="00000000" w:rsidRPr="00000000" w14:paraId="00000022">
            <w:pPr>
              <w:rPr>
                <w:sz w:val="18"/>
                <w:szCs w:val="18"/>
              </w:rPr>
            </w:pPr>
            <w:r w:rsidDel="00000000" w:rsidR="00000000" w:rsidRPr="00000000">
              <w:rPr>
                <w:sz w:val="18"/>
                <w:szCs w:val="18"/>
                <w:rtl w:val="0"/>
              </w:rPr>
              <w:t xml:space="preserve">Le fotocopiatrici e le stampanti laser maggiormente impiegate, vengono sistemate lontano dalle postazioni di lavoro, in locali ampi o ben aerati. Le attrezzature vengono sottoposte a regolari interventi di manutenzione volti a mantenere il corretto funzionamento delle stesse e ridurre, contestualmente, l'emissione di prodotti pericolosi in aria. Le stampanti e le fotocopiatrici presenti hanno i cilindri di toner che vengono materialmente sostituiti e non si provvede al versamento del toner all'interno della macchina; tale condizione determina una riduzione di emissioni di polvere all'interno dei locali.</w:t>
            </w:r>
          </w:p>
        </w:tc>
        <w:tc>
          <w:tcPr/>
          <w:p w:rsidR="00000000" w:rsidDel="00000000" w:rsidP="00000000" w:rsidRDefault="00000000" w:rsidRPr="00000000" w14:paraId="00000023">
            <w:pPr>
              <w:rPr>
                <w:sz w:val="18"/>
                <w:szCs w:val="18"/>
              </w:rPr>
            </w:pPr>
            <w:r w:rsidDel="00000000" w:rsidR="00000000" w:rsidRPr="00000000">
              <w:rPr>
                <w:sz w:val="18"/>
                <w:szCs w:val="18"/>
                <w:rtl w:val="0"/>
              </w:rPr>
              <w:t xml:space="preserve">In considerazione dell'uso medio delle stampanti e delle fotocopiatrici, oltre che delle caratteristiche dei locali, si può escludere che l'esposizione possa essere significativa. Dagli studi epidemiologici effettuati, soprattutto in Germania, non sono emerse specifiche criticità nei locali adibiti ad ufficio ad uso normale.</w:t>
            </w:r>
          </w:p>
        </w:tc>
      </w:tr>
      <w:tr>
        <w:trPr>
          <w:cantSplit w:val="0"/>
          <w:tblHeader w:val="0"/>
        </w:trPr>
        <w:tc>
          <w:tcPr/>
          <w:p w:rsidR="00000000" w:rsidDel="00000000" w:rsidP="00000000" w:rsidRDefault="00000000" w:rsidRPr="00000000" w14:paraId="00000024">
            <w:pPr>
              <w:rPr>
                <w:sz w:val="18"/>
                <w:szCs w:val="18"/>
              </w:rPr>
            </w:pPr>
            <w:r w:rsidDel="00000000" w:rsidR="00000000" w:rsidRPr="00000000">
              <w:rPr>
                <w:b w:val="1"/>
                <w:bCs w:val="1"/>
                <w:sz w:val="18"/>
                <w:szCs w:val="18"/>
                <w:rtl w:val="0"/>
              </w:rPr>
              <w:t xml:space="preserve">Campi elettromagnetici</w:t>
            </w:r>
            <w:r w:rsidDel="00000000" w:rsidR="00000000" w:rsidRPr="00000000">
              <w:rPr>
                <w:sz w:val="18"/>
                <w:szCs w:val="18"/>
                <w:rtl w:val="0"/>
              </w:rPr>
              <w:t xml:space="preserve">: la presenza di impianto WiFi rappresenta l'unica sorgente che può essere individuata in questi locali.</w:t>
            </w:r>
          </w:p>
        </w:tc>
        <w:tc>
          <w:tcPr/>
          <w:p w:rsidR="00000000" w:rsidDel="00000000" w:rsidP="00000000" w:rsidRDefault="00000000" w:rsidRPr="00000000" w14:paraId="00000025">
            <w:pPr>
              <w:rPr>
                <w:sz w:val="18"/>
                <w:szCs w:val="18"/>
              </w:rPr>
            </w:pPr>
            <w:r w:rsidDel="00000000" w:rsidR="00000000" w:rsidRPr="00000000">
              <w:rPr>
                <w:sz w:val="18"/>
                <w:szCs w:val="18"/>
                <w:rtl w:val="0"/>
              </w:rPr>
              <w:t xml:space="preserve">I ripetitori WiFi installati sono conformi alle norme sulle radiazioni emesse e sono installati in prossimità del soffitto per garantire anche un'adeguata distanza rispetto alle persone. Analogamente, i personal computer e le relative perideriche sono anch'esse conformi alle norme tecniche applicabili.</w:t>
            </w:r>
          </w:p>
        </w:tc>
        <w:tc>
          <w:tcPr/>
          <w:p w:rsidR="00000000" w:rsidDel="00000000" w:rsidP="00000000" w:rsidRDefault="00000000" w:rsidRPr="00000000" w14:paraId="00000026">
            <w:pPr>
              <w:rPr>
                <w:sz w:val="18"/>
                <w:szCs w:val="18"/>
              </w:rPr>
            </w:pPr>
            <w:r w:rsidDel="00000000" w:rsidR="00000000" w:rsidRPr="00000000">
              <w:rPr>
                <w:sz w:val="18"/>
                <w:szCs w:val="18"/>
                <w:rtl w:val="0"/>
              </w:rPr>
              <w:t xml:space="preserve">"Basi per telefoni DECT e reti Wlan" rientrano tra le sorgenti giustificabili riportate alla tabella 4.1 delle indicazioni operative sui rischi fisici del Coordinamento Tecnico per la sicurezza nei luoghi di lavoro delle Regioni e delle Province autonome. Pertanto, ulteriori valutazioni più dettagliate non sono necessarie per valutare il rischio. Stessa cosa per i PC e le altre periferiche alimentate elettricamente.</w:t>
            </w:r>
          </w:p>
        </w:tc>
      </w:tr>
    </w:tbl>
    <w:p w:rsidR="00000000" w:rsidDel="00000000" w:rsidP="00000000" w:rsidRDefault="00000000" w:rsidRPr="00000000" w14:paraId="00000027">
      <w:pPr>
        <w:pStyle w:val="Heading2"/>
        <w:ind w:firstLine="140"/>
        <w:rPr/>
      </w:pPr>
      <w:bookmarkStart w:colFirst="0" w:colLast="0" w:name="_heading=h.4o9dybp7kgi4" w:id="3"/>
      <w:bookmarkEnd w:id="3"/>
      <w:r w:rsidDel="00000000" w:rsidR="00000000" w:rsidRPr="00000000">
        <w:rPr>
          <w:rtl w:val="0"/>
        </w:rPr>
        <w:t xml:space="preserve">DPI</w:t>
      </w:r>
    </w:p>
    <w:tbl>
      <w:tblPr>
        <w:tblStyle w:val="Table2"/>
        <w:tblW w:w="9926.0" w:type="dxa"/>
        <w:jc w:val="center"/>
        <w:tblLayout w:type="fixed"/>
        <w:tblLook w:val="0000"/>
      </w:tblPr>
      <w:tblGrid>
        <w:gridCol w:w="9926"/>
        <w:tblGridChange w:id="0">
          <w:tblGrid>
            <w:gridCol w:w="9926"/>
          </w:tblGrid>
        </w:tblGridChange>
      </w:tblGrid>
      <w:tr>
        <w:trPr>
          <w:cantSplit w:val="0"/>
          <w:tblHeader w:val="0"/>
        </w:trPr>
        <w:tc>
          <w:tcPr/>
          <w:p w:rsidR="00000000" w:rsidDel="00000000" w:rsidP="00000000" w:rsidRDefault="00000000" w:rsidRPr="00000000" w14:paraId="00000028">
            <w:pPr>
              <w:rPr/>
            </w:pPr>
            <w:r w:rsidDel="00000000" w:rsidR="00000000" w:rsidRPr="00000000">
              <w:rPr>
                <w:rtl w:val="0"/>
              </w:rPr>
              <w:t xml:space="preserve">Nessun DPI ritenuto necessario</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headerReference r:id="rId7" w:type="default"/>
      <w:footerReference r:id="rId8" w:type="default"/>
      <w:pgSz w:h="16840" w:w="11910" w:orient="portrait"/>
      <w:pgMar w:bottom="1160" w:top="1380" w:left="992" w:right="992" w:header="716" w:footer="97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 w:right="14"/>
      <w:jc w:val="center"/>
    </w:pPr>
    <w:rPr>
      <w:sz w:val="28"/>
      <w:szCs w:val="28"/>
    </w:rPr>
  </w:style>
  <w:style w:type="paragraph" w:styleId="Heading2">
    <w:name w:val="heading 2"/>
    <w:basedOn w:val="Normal"/>
    <w:next w:val="Normal"/>
    <w:pPr>
      <w:spacing w:before="20" w:lineRule="auto"/>
      <w:ind w:left="140"/>
    </w:pPr>
    <w:rPr>
      <w:b w:val="1"/>
      <w:bCs w:val="1"/>
      <w:sz w:val="26"/>
      <w:szCs w:val="26"/>
    </w:rPr>
  </w:style>
  <w:style w:type="paragraph" w:styleId="Heading3">
    <w:name w:val="heading 3"/>
    <w:basedOn w:val="Normal"/>
    <w:next w:val="Normal"/>
    <w:pPr>
      <w:spacing w:before="20" w:lineRule="auto"/>
      <w:ind w:left="140"/>
    </w:pPr>
    <w:rPr>
      <w:b w:val="1"/>
      <w:bCs w:val="1"/>
      <w:sz w:val="26"/>
      <w:szCs w:val="26"/>
    </w:rPr>
  </w:style>
  <w:style w:type="paragraph" w:styleId="Heading4">
    <w:name w:val="heading 4"/>
    <w:basedOn w:val="Normal"/>
    <w:next w:val="Normal"/>
    <w:pPr>
      <w:ind w:left="140"/>
    </w:pPr>
    <w:rPr>
      <w:b w:val="1"/>
      <w:bCs w:val="1"/>
    </w:rPr>
  </w:style>
  <w:style w:type="paragraph" w:styleId="Heading5">
    <w:name w:val="heading 5"/>
    <w:basedOn w:val="Normal"/>
    <w:next w:val="Normal"/>
    <w:pPr>
      <w:ind w:left="10" w:right="14"/>
      <w:jc w:val="center"/>
    </w:pPr>
    <w:rPr>
      <w:b w:val="1"/>
      <w:bCs w:val="1"/>
      <w:sz w:val="20"/>
      <w:szCs w:val="20"/>
    </w:rPr>
  </w:style>
  <w:style w:type="paragraph" w:styleId="Heading6">
    <w:name w:val="heading 6"/>
    <w:basedOn w:val="Normal"/>
    <w:next w:val="Normal"/>
    <w:pPr>
      <w:ind w:left="140"/>
    </w:pPr>
    <w:rPr>
      <w:b w:val="1"/>
      <w:bCs w:val="1"/>
      <w:sz w:val="20"/>
      <w:szCs w:val="20"/>
    </w:rPr>
  </w:style>
  <w:style w:type="paragraph" w:styleId="Title">
    <w:name w:val="Title"/>
    <w:basedOn w:val="Normal"/>
    <w:next w:val="Normal"/>
    <w:pPr>
      <w:ind w:left="2863"/>
    </w:pPr>
    <w:rPr>
      <w:b w:val="1"/>
      <w:bCs w:val="1"/>
      <w:sz w:val="50"/>
      <w:szCs w:val="5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Sommario1">
    <w:name w:val="toc 1"/>
    <w:basedOn w:val="Normale"/>
    <w:uiPriority w:val="39"/>
    <w:qFormat w:val="1"/>
    <w:pPr>
      <w:spacing w:before="135"/>
      <w:ind w:left="140"/>
    </w:pPr>
    <w:rPr>
      <w:sz w:val="20"/>
      <w:szCs w:val="20"/>
    </w:rPr>
  </w:style>
  <w:style w:type="paragraph" w:styleId="Sommario2">
    <w:name w:val="toc 2"/>
    <w:basedOn w:val="Normale"/>
    <w:uiPriority w:val="39"/>
    <w:qFormat w:val="1"/>
    <w:pPr>
      <w:spacing w:before="134"/>
      <w:ind w:left="338"/>
    </w:pPr>
    <w:rPr>
      <w:sz w:val="20"/>
      <w:szCs w:val="20"/>
    </w:rPr>
  </w:style>
  <w:style w:type="paragraph" w:styleId="Sommario3">
    <w:name w:val="toc 3"/>
    <w:basedOn w:val="Normale"/>
    <w:uiPriority w:val="39"/>
    <w:qFormat w:val="1"/>
    <w:pPr>
      <w:spacing w:before="135"/>
      <w:ind w:left="338"/>
    </w:pPr>
    <w:rPr>
      <w:sz w:val="20"/>
      <w:szCs w:val="20"/>
    </w:rPr>
  </w:style>
  <w:style w:type="paragraph" w:styleId="Sommario4">
    <w:name w:val="toc 4"/>
    <w:basedOn w:val="Normale"/>
    <w:uiPriority w:val="1"/>
    <w:qFormat w:val="1"/>
    <w:pPr>
      <w:spacing w:before="135"/>
      <w:ind w:left="544"/>
    </w:pPr>
    <w:rPr>
      <w:sz w:val="20"/>
      <w:szCs w:val="20"/>
    </w:rPr>
  </w:style>
  <w:style w:type="paragraph" w:styleId="Corpotesto">
    <w:name w:val="Body Text"/>
    <w:basedOn w:val="Normale"/>
    <w:uiPriority w:val="1"/>
    <w:qFormat w:val="1"/>
    <w:rPr>
      <w:sz w:val="20"/>
      <w:szCs w:val="20"/>
    </w:rPr>
  </w:style>
  <w:style w:type="paragraph" w:styleId="Paragrafoelenco">
    <w:name w:val="List Paragraph"/>
    <w:basedOn w:val="Normale"/>
    <w:uiPriority w:val="1"/>
    <w:qFormat w:val="1"/>
    <w:pPr>
      <w:spacing w:before="34"/>
      <w:ind w:left="859" w:hanging="358"/>
    </w:pPr>
  </w:style>
  <w:style w:type="paragraph" w:styleId="TableParagraph" w:customStyle="1">
    <w:name w:val="Table Paragraph"/>
    <w:basedOn w:val="Normale"/>
    <w:uiPriority w:val="1"/>
    <w:qFormat w:val="1"/>
  </w:style>
  <w:style w:type="paragraph" w:styleId="Intestazione">
    <w:name w:val="header"/>
    <w:basedOn w:val="Normale"/>
    <w:link w:val="IntestazioneCarattere"/>
    <w:uiPriority w:val="99"/>
    <w:unhideWhenUsed w:val="1"/>
    <w:rsid w:val="00897E77"/>
    <w:pPr>
      <w:tabs>
        <w:tab w:val="center" w:pos="4819"/>
        <w:tab w:val="right" w:pos="9638"/>
      </w:tabs>
    </w:pPr>
  </w:style>
  <w:style w:type="character" w:styleId="IntestazioneCarattere" w:customStyle="1">
    <w:name w:val="Intestazione Carattere"/>
    <w:basedOn w:val="Carpredefinitoparagrafo"/>
    <w:link w:val="Intestazione"/>
    <w:uiPriority w:val="99"/>
    <w:rsid w:val="00897E77"/>
    <w:rPr>
      <w:rFonts w:ascii="Arial" w:cs="Arial" w:eastAsia="Arial" w:hAnsi="Arial"/>
      <w:lang w:val="it-IT"/>
    </w:rPr>
  </w:style>
  <w:style w:type="paragraph" w:styleId="Pidipagina">
    <w:name w:val="footer"/>
    <w:basedOn w:val="Normale"/>
    <w:link w:val="PidipaginaCarattere"/>
    <w:uiPriority w:val="99"/>
    <w:unhideWhenUsed w:val="1"/>
    <w:rsid w:val="00897E77"/>
    <w:pPr>
      <w:tabs>
        <w:tab w:val="center" w:pos="4819"/>
        <w:tab w:val="right" w:pos="9638"/>
      </w:tabs>
    </w:pPr>
  </w:style>
  <w:style w:type="character" w:styleId="PidipaginaCarattere" w:customStyle="1">
    <w:name w:val="Piè di pagina Carattere"/>
    <w:basedOn w:val="Carpredefinitoparagrafo"/>
    <w:link w:val="Pidipagina"/>
    <w:uiPriority w:val="99"/>
    <w:rsid w:val="00897E77"/>
    <w:rPr>
      <w:rFonts w:ascii="Arial" w:cs="Arial" w:eastAsia="Arial" w:hAnsi="Arial"/>
      <w:lang w:val="it-IT"/>
    </w:rPr>
  </w:style>
  <w:style w:type="paragraph" w:styleId="Blocco" w:customStyle="1">
    <w:name w:val="Blocco"/>
    <w:basedOn w:val="Normale"/>
    <w:next w:val="Normale"/>
    <w:uiPriority w:val="99"/>
    <w:rsid w:val="004E22B4"/>
    <w:pPr>
      <w:pageBreakBefore w:val="1"/>
      <w:widowControl w:val="1"/>
      <w:autoSpaceDE w:val="1"/>
      <w:autoSpaceDN w:val="1"/>
    </w:pPr>
    <w:rPr>
      <w:rFonts w:cs="Times New Roman" w:eastAsia="Times New Roman"/>
      <w:sz w:val="2"/>
      <w:szCs w:val="20"/>
      <w:lang w:eastAsia="it-IT" w:val="en-GB"/>
    </w:rPr>
  </w:style>
  <w:style w:type="table" w:styleId="Tabelladati" w:customStyle="1">
    <w:name w:val="Tabella dati"/>
    <w:basedOn w:val="Tabellanormale"/>
    <w:uiPriority w:val="99"/>
    <w:qFormat w:val="1"/>
    <w:rsid w:val="004E22B4"/>
    <w:pPr>
      <w:widowControl w:val="1"/>
      <w:autoSpaceDE w:val="1"/>
      <w:autoSpaceDN w:val="1"/>
    </w:pPr>
    <w:rPr>
      <w:rFonts w:ascii="Arial" w:hAnsi="Arial"/>
      <w:lang w:val="it-IT"/>
    </w:rPr>
    <w:tblPr>
      <w:tblStyleRowBandSize w:val="1"/>
      <w:tblBorders>
        <w:insideH w:color="d15b47" w:space="0" w:sz="4" w:val="single"/>
        <w:insideV w:color="d15b47" w:space="0" w:sz="4" w:val="single"/>
      </w:tblBorders>
      <w:tblCellMar>
        <w:top w:w="45.0" w:type="dxa"/>
        <w:bottom w:w="45.0" w:type="dxa"/>
      </w:tblCellMar>
    </w:tblPr>
    <w:tblStylePr w:type="firstRow">
      <w:rPr>
        <w:b w:val="1"/>
      </w:rPr>
      <w:tblPr/>
      <w:tcPr>
        <w:tcBorders>
          <w:bottom w:color="d15b47" w:space="0" w:sz="12" w:val="single"/>
        </w:tcBorders>
        <w:vAlign w:val="center"/>
      </w:tcPr>
    </w:tblStylePr>
    <w:tblStylePr w:type="band1Horz">
      <w:tblPr/>
      <w:tcPr>
        <w:shd w:color="auto" w:fill="ffffff" w:themeFill="background1" w:val="clear"/>
      </w:tcPr>
    </w:tblStylePr>
  </w:style>
  <w:style w:type="table" w:styleId="Tabellaperimpaginazione" w:customStyle="1">
    <w:name w:val="Tabella per impaginazione"/>
    <w:basedOn w:val="Tabellanormale"/>
    <w:uiPriority w:val="99"/>
    <w:qFormat w:val="1"/>
    <w:rsid w:val="004E22B4"/>
    <w:pPr>
      <w:widowControl w:val="1"/>
      <w:autoSpaceDE w:val="1"/>
      <w:autoSpaceDN w:val="1"/>
    </w:pPr>
    <w:rPr>
      <w:rFonts w:ascii="Arial" w:hAnsi="Arial"/>
      <w:lang w:val="it-IT"/>
    </w:rPr>
    <w:tblPr>
      <w:jc w:val="center"/>
      <w:tblCellMar>
        <w:left w:w="0.0" w:type="dxa"/>
        <w:right w:w="0.0" w:type="dxa"/>
      </w:tblCellMar>
    </w:tblPr>
    <w:trPr>
      <w:jc w:val="center"/>
    </w:trPr>
  </w:style>
  <w:style w:type="paragraph" w:styleId="Titolosommario">
    <w:name w:val="TOC Heading"/>
    <w:basedOn w:val="Titolo1"/>
    <w:next w:val="Normale"/>
    <w:uiPriority w:val="39"/>
    <w:unhideWhenUsed w:val="1"/>
    <w:qFormat w:val="1"/>
    <w:rsid w:val="00262969"/>
    <w:pPr>
      <w:keepNext w:val="1"/>
      <w:keepLines w:val="1"/>
      <w:widowControl w:val="1"/>
      <w:autoSpaceDE w:val="1"/>
      <w:autoSpaceDN w:val="1"/>
      <w:spacing w:before="240" w:line="259" w:lineRule="auto"/>
      <w:ind w:left="0" w:right="0"/>
      <w:jc w:val="left"/>
      <w:outlineLvl w:val="9"/>
    </w:pPr>
    <w:rPr>
      <w:rFonts w:asciiTheme="majorHAnsi" w:cstheme="majorBidi" w:eastAsiaTheme="majorEastAsia" w:hAnsiTheme="majorHAnsi"/>
      <w:color w:val="365f91" w:themeColor="accent1" w:themeShade="0000BF"/>
      <w:sz w:val="32"/>
      <w:szCs w:val="32"/>
      <w:lang w:eastAsia="it-IT"/>
    </w:rPr>
  </w:style>
  <w:style w:type="character" w:styleId="Collegamentoipertestuale">
    <w:name w:val="Hyperlink"/>
    <w:basedOn w:val="Carpredefinitoparagrafo"/>
    <w:uiPriority w:val="99"/>
    <w:unhideWhenUsed w:val="1"/>
    <w:rsid w:val="00262969"/>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1"/>
    </w:pPr>
    <w:rPr>
      <w:rFonts w:ascii="Arial" w:cs="Arial" w:eastAsia="Arial" w:hAnsi="Arial"/>
    </w:rPr>
    <w:tblPr>
      <w:tblStyleRowBandSize w:val="1"/>
      <w:tblStyleColBandSize w:val="1"/>
      <w:tblCellMar>
        <w:top w:w="45.0" w:type="dxa"/>
        <w:left w:w="108.0" w:type="dxa"/>
        <w:bottom w:w="45.0" w:type="dxa"/>
        <w:right w:w="108.0" w:type="dxa"/>
      </w:tblCellMar>
    </w:tblPr>
    <w:tblStylePr w:type="band1Horz">
      <w:tcPr>
        <w:shd w:fill="ffffff" w:val="clear"/>
      </w:tcPr>
    </w:tblStylePr>
    <w:tblStylePr w:type="firstRow">
      <w:rPr>
        <w:b w:val="1"/>
        <w:bCs w:val="1"/>
      </w:rPr>
      <w:tcPr>
        <w:tcBorders>
          <w:bottom w:color="d15b47" w:space="0" w:sz="12" w:val="single"/>
        </w:tcBorders>
        <w:vAlign w:val="center"/>
      </w:tcPr>
    </w:tblStylePr>
  </w:style>
  <w:style w:type="table" w:styleId="Table2">
    <w:basedOn w:val="TableNormal"/>
    <w:pPr>
      <w:widowControl w:val="1"/>
    </w:pPr>
    <w:rPr>
      <w:rFonts w:ascii="Arial" w:cs="Arial" w:eastAsia="Arial" w:hAnsi="Arial"/>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uXQF6ndb3TZeJL0UKj4eCK/T7A==">CgMxLjAyDmguOWJnYWtkcWEweGhkMg5oLmlhaXJ0MDFmN3BncDINaC4zOTVybGdrcHl4aDIOaC40bzlkeWJwN2tnaTQ4AHIhMW85bmhRekZmNTdJc3FnMk50eXh5aTNUeXh6R3dVSV9E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2026-02-18T09:09:00Z</dcterms:created>
  <dc:creator>eincoletti;OpenTBS 1.10.7</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2024-10-21T00:00:00Z</vt:filetime>
  </property>
  <property fmtid="{D5CDD505-2E9C-101B-9397-08002B2CF9AE}" pid="3" name="Creator">
    <vt:lpwstr>Microsoft® Word 2019</vt:lpwstr>
  </property>
  <property fmtid="{D5CDD505-2E9C-101B-9397-08002B2CF9AE}" pid="4" name="LastSaved">
    <vt:filetime>2025-12-05T00:00:00Z</vt:filetime>
  </property>
  <property fmtid="{D5CDD505-2E9C-101B-9397-08002B2CF9AE}" pid="5" name="Producer">
    <vt:lpwstr>Microsoft® Word 2019</vt:lpwstr>
  </property>
</Properties>
</file>