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6C94" w14:textId="77777777" w:rsidR="00F036AF" w:rsidRDefault="004E0329">
      <w:pPr>
        <w:rPr>
          <w:lang w:val="es-ES"/>
        </w:rPr>
      </w:pPr>
      <w:bookmarkStart w:id="0" w:name="_GoBack"/>
      <w:bookmarkEnd w:id="0"/>
      <w:r>
        <w:rPr>
          <w:lang w:val="es-ES"/>
        </w:rPr>
        <w:t>A modo de resume</w:t>
      </w:r>
      <w:r w:rsidR="00BC0124">
        <w:rPr>
          <w:lang w:val="es-ES"/>
        </w:rPr>
        <w:t>n</w:t>
      </w:r>
      <w:r>
        <w:rPr>
          <w:lang w:val="es-ES"/>
        </w:rPr>
        <w:t xml:space="preserve"> de clase:</w:t>
      </w:r>
    </w:p>
    <w:p w14:paraId="61A059C8" w14:textId="77777777" w:rsidR="004E0329" w:rsidRPr="00306C90" w:rsidRDefault="004E0329" w:rsidP="00306C90">
      <w:pPr>
        <w:jc w:val="center"/>
        <w:rPr>
          <w:b/>
          <w:i/>
          <w:u w:val="single"/>
          <w:lang w:val="es-ES"/>
        </w:rPr>
      </w:pPr>
      <w:r w:rsidRPr="00306C90">
        <w:rPr>
          <w:b/>
          <w:i/>
          <w:u w:val="single"/>
          <w:lang w:val="es-ES"/>
        </w:rPr>
        <w:t>Teoría del error en la medición</w:t>
      </w:r>
    </w:p>
    <w:p w14:paraId="5FA13CB3" w14:textId="77777777" w:rsidR="004E0329" w:rsidRDefault="00BC0124" w:rsidP="00B21F70">
      <w:pPr>
        <w:jc w:val="both"/>
        <w:rPr>
          <w:lang w:val="es-ES"/>
        </w:rPr>
      </w:pPr>
      <w:r w:rsidRPr="00306C90">
        <w:rPr>
          <w:b/>
          <w:lang w:val="es-ES"/>
        </w:rPr>
        <w:t>Medi</w:t>
      </w:r>
      <w:r w:rsidR="00F66713" w:rsidRPr="00306C90">
        <w:rPr>
          <w:b/>
          <w:lang w:val="es-ES"/>
        </w:rPr>
        <w:t>r</w:t>
      </w:r>
      <w:r w:rsidRPr="00306C90">
        <w:rPr>
          <w:b/>
          <w:lang w:val="es-ES"/>
        </w:rPr>
        <w:t>:</w:t>
      </w:r>
      <w:r w:rsidR="00306C90" w:rsidRPr="00306C90">
        <w:rPr>
          <w:b/>
          <w:lang w:val="es-ES"/>
        </w:rPr>
        <w:t xml:space="preserve"> </w:t>
      </w:r>
      <w:r w:rsidR="00F66713" w:rsidRPr="00306C90">
        <w:rPr>
          <w:lang w:val="es-ES"/>
        </w:rPr>
        <w:t>una magnitud física es el pro</w:t>
      </w:r>
      <w:r w:rsidR="00426CA3">
        <w:rPr>
          <w:lang w:val="es-ES"/>
        </w:rPr>
        <w:t xml:space="preserve">ceso de comparar cuántas veces </w:t>
      </w:r>
      <w:r w:rsidR="00F66713" w:rsidRPr="00306C90">
        <w:rPr>
          <w:lang w:val="es-ES"/>
        </w:rPr>
        <w:t>un patrón elegido con anterioridad está contenido en esa magnitud.</w:t>
      </w:r>
    </w:p>
    <w:p w14:paraId="47A28036" w14:textId="77777777" w:rsidR="00326AE6" w:rsidRPr="00306C90" w:rsidRDefault="00043B57" w:rsidP="00B21F70">
      <w:pPr>
        <w:jc w:val="both"/>
        <w:rPr>
          <w:lang w:val="es-ES"/>
        </w:rPr>
      </w:pPr>
      <w:r>
        <w:rPr>
          <w:lang w:val="es-ES"/>
        </w:rPr>
        <w:tab/>
      </w:r>
      <w:r w:rsidR="00E52FBE">
        <w:rPr>
          <w:lang w:val="es-ES"/>
        </w:rPr>
        <w:t xml:space="preserve">La </w:t>
      </w:r>
      <w:r w:rsidR="00E52FBE" w:rsidRPr="00E52FBE">
        <w:rPr>
          <w:b/>
          <w:lang w:val="es-ES"/>
        </w:rPr>
        <w:t>m</w:t>
      </w:r>
      <w:r w:rsidR="00326AE6" w:rsidRPr="00E52FBE">
        <w:rPr>
          <w:b/>
          <w:lang w:val="es-ES"/>
        </w:rPr>
        <w:t>edición es directa</w:t>
      </w:r>
      <w:r w:rsidR="00326AE6">
        <w:rPr>
          <w:lang w:val="es-ES"/>
        </w:rPr>
        <w:t xml:space="preserve"> es cuando con un instrumento obtenemos </w:t>
      </w:r>
      <w:r w:rsidR="00426CA3">
        <w:rPr>
          <w:lang w:val="es-ES"/>
        </w:rPr>
        <w:t xml:space="preserve">el valor de la magnitud medida </w:t>
      </w:r>
      <w:r w:rsidR="00326AE6">
        <w:rPr>
          <w:lang w:val="es-ES"/>
        </w:rPr>
        <w:t xml:space="preserve">y es </w:t>
      </w:r>
      <w:r w:rsidR="00326AE6" w:rsidRPr="00E52FBE">
        <w:rPr>
          <w:b/>
          <w:lang w:val="es-ES"/>
        </w:rPr>
        <w:t>indirecta</w:t>
      </w:r>
      <w:r w:rsidR="00326AE6">
        <w:rPr>
          <w:lang w:val="es-ES"/>
        </w:rPr>
        <w:t xml:space="preserve"> cuando a través de cálculos (por una fórmula) y teniendo como información mediciones directas se obtenemos el valor de la magnitud.</w:t>
      </w:r>
    </w:p>
    <w:p w14:paraId="401D61A6" w14:textId="77777777" w:rsidR="00BC0124" w:rsidRPr="00306C90" w:rsidRDefault="00BC0124" w:rsidP="00B21F70">
      <w:pPr>
        <w:jc w:val="both"/>
        <w:rPr>
          <w:lang w:val="es-ES"/>
        </w:rPr>
      </w:pPr>
      <w:r w:rsidRPr="00306C90">
        <w:rPr>
          <w:b/>
          <w:lang w:val="es-ES"/>
        </w:rPr>
        <w:t>Error en la medición:</w:t>
      </w:r>
      <w:r w:rsidRPr="00306C90">
        <w:rPr>
          <w:lang w:val="es-ES"/>
        </w:rPr>
        <w:t xml:space="preserve"> es, en general, la diferencia entre el valor obtenido en la medición y el valor verdadero que no se conoce.</w:t>
      </w:r>
    </w:p>
    <w:p w14:paraId="4237E277" w14:textId="77777777" w:rsidR="00BC0124" w:rsidRPr="00306C90" w:rsidRDefault="00306C90" w:rsidP="00DD5FD9">
      <w:pPr>
        <w:spacing w:after="0"/>
        <w:jc w:val="both"/>
        <w:rPr>
          <w:b/>
          <w:lang w:val="es-ES"/>
        </w:rPr>
      </w:pPr>
      <w:r>
        <w:rPr>
          <w:b/>
          <w:lang w:val="es-ES"/>
        </w:rPr>
        <w:t xml:space="preserve">Clasificación </w:t>
      </w:r>
      <w:r w:rsidR="00BC0124" w:rsidRPr="00306C90">
        <w:rPr>
          <w:b/>
          <w:lang w:val="es-ES"/>
        </w:rPr>
        <w:t>de</w:t>
      </w:r>
      <w:r w:rsidR="00B167C7" w:rsidRPr="00306C90">
        <w:rPr>
          <w:b/>
          <w:lang w:val="es-ES"/>
        </w:rPr>
        <w:t xml:space="preserve"> los</w:t>
      </w:r>
      <w:r w:rsidR="00BC0124" w:rsidRPr="00306C90">
        <w:rPr>
          <w:b/>
          <w:lang w:val="es-ES"/>
        </w:rPr>
        <w:t xml:space="preserve"> errores:</w:t>
      </w:r>
    </w:p>
    <w:p w14:paraId="74F7BBCE" w14:textId="77777777" w:rsidR="00B167C7" w:rsidRPr="00306C90" w:rsidRDefault="00B167C7" w:rsidP="00DD5FD9">
      <w:pPr>
        <w:spacing w:after="0"/>
        <w:ind w:left="567"/>
        <w:jc w:val="both"/>
        <w:rPr>
          <w:b/>
          <w:lang w:val="es-ES"/>
        </w:rPr>
      </w:pPr>
      <w:r w:rsidRPr="00306C90">
        <w:rPr>
          <w:b/>
          <w:lang w:val="es-ES"/>
        </w:rPr>
        <w:t>Sistemáticos</w:t>
      </w:r>
      <w:r w:rsidR="00306C90" w:rsidRPr="00306C90">
        <w:rPr>
          <w:b/>
          <w:lang w:val="es-ES"/>
        </w:rPr>
        <w:t>:</w:t>
      </w:r>
      <w:r w:rsidR="002227A2">
        <w:rPr>
          <w:b/>
          <w:lang w:val="es-ES"/>
        </w:rPr>
        <w:t xml:space="preserve"> </w:t>
      </w:r>
      <w:r w:rsidR="002227A2" w:rsidRPr="002227A2">
        <w:rPr>
          <w:lang w:val="es-ES"/>
        </w:rPr>
        <w:t>son errores que se repiten en el mismo sentido, siempre que se utilice el mismo instrumento de medición.</w:t>
      </w:r>
    </w:p>
    <w:p w14:paraId="5EECC01A" w14:textId="77777777" w:rsidR="00977338" w:rsidRPr="00306C90" w:rsidRDefault="00B167C7" w:rsidP="00DD5FD9">
      <w:pPr>
        <w:spacing w:after="0"/>
        <w:ind w:left="567"/>
        <w:jc w:val="both"/>
        <w:rPr>
          <w:lang w:val="es-ES"/>
        </w:rPr>
      </w:pPr>
      <w:r w:rsidRPr="00306C90">
        <w:rPr>
          <w:b/>
          <w:lang w:val="es-ES"/>
        </w:rPr>
        <w:t>Accidentales:</w:t>
      </w:r>
      <w:r w:rsidR="002A5F36" w:rsidRPr="00306C90">
        <w:rPr>
          <w:lang w:val="es-ES"/>
        </w:rPr>
        <w:t xml:space="preserve"> </w:t>
      </w:r>
      <w:r w:rsidR="00B21F70">
        <w:rPr>
          <w:lang w:val="es-ES"/>
        </w:rPr>
        <w:t xml:space="preserve">estos errores varían de una experiencia a otra y hasta pueden ser de diferentes sentidos (errores por exceso o por defecto) Por ejemplo: </w:t>
      </w:r>
      <w:r w:rsidR="00977338" w:rsidRPr="00306C90">
        <w:rPr>
          <w:lang w:val="es-ES"/>
        </w:rPr>
        <w:t>deficiencia en el montaje del instrumento, ubicación del cero, etc.</w:t>
      </w:r>
    </w:p>
    <w:p w14:paraId="3B927F6F" w14:textId="77777777" w:rsidR="00B167C7" w:rsidRPr="00306C90" w:rsidRDefault="002A5F36" w:rsidP="00DD5FD9">
      <w:pPr>
        <w:spacing w:after="0"/>
        <w:ind w:left="567"/>
        <w:jc w:val="both"/>
        <w:rPr>
          <w:lang w:val="es-ES"/>
        </w:rPr>
      </w:pPr>
      <w:r w:rsidRPr="00306C90">
        <w:rPr>
          <w:b/>
          <w:lang w:val="es-ES"/>
        </w:rPr>
        <w:t>D</w:t>
      </w:r>
      <w:r w:rsidR="00306C90" w:rsidRPr="00306C90">
        <w:rPr>
          <w:b/>
          <w:lang w:val="es-ES"/>
        </w:rPr>
        <w:t>el operador:</w:t>
      </w:r>
      <w:r w:rsidR="00306C90">
        <w:rPr>
          <w:lang w:val="es-ES"/>
        </w:rPr>
        <w:t xml:space="preserve"> </w:t>
      </w:r>
      <w:r w:rsidR="00977338" w:rsidRPr="00306C90">
        <w:rPr>
          <w:lang w:val="es-ES"/>
        </w:rPr>
        <w:t xml:space="preserve">del instrumento de medición, pueden ser por varios factores como falta de experiencia en el manejo del instrumento, cansancio, </w:t>
      </w:r>
      <w:r w:rsidR="00907DEB">
        <w:rPr>
          <w:lang w:val="es-ES"/>
        </w:rPr>
        <w:t xml:space="preserve">rutina, </w:t>
      </w:r>
      <w:r w:rsidR="00977338" w:rsidRPr="00306C90">
        <w:rPr>
          <w:lang w:val="es-ES"/>
        </w:rPr>
        <w:t xml:space="preserve">incomodidad en la toma de la medición, dificultades climáticas, </w:t>
      </w:r>
      <w:r w:rsidR="00B21F70">
        <w:rPr>
          <w:lang w:val="es-ES"/>
        </w:rPr>
        <w:t xml:space="preserve">paralaje, </w:t>
      </w:r>
      <w:r w:rsidR="00977338" w:rsidRPr="00306C90">
        <w:rPr>
          <w:lang w:val="es-ES"/>
        </w:rPr>
        <w:t>etc.</w:t>
      </w:r>
    </w:p>
    <w:p w14:paraId="7E2FA4EE" w14:textId="77777777" w:rsidR="00977338" w:rsidRDefault="00977338" w:rsidP="00DD5FD9">
      <w:pPr>
        <w:spacing w:after="0"/>
        <w:ind w:left="567"/>
        <w:jc w:val="both"/>
        <w:rPr>
          <w:lang w:val="es-ES"/>
        </w:rPr>
      </w:pPr>
      <w:r w:rsidRPr="00306C90">
        <w:rPr>
          <w:b/>
          <w:lang w:val="es-ES"/>
        </w:rPr>
        <w:t>D</w:t>
      </w:r>
      <w:r w:rsidR="00306C90" w:rsidRPr="00306C90">
        <w:rPr>
          <w:b/>
          <w:lang w:val="es-ES"/>
        </w:rPr>
        <w:t>e apreciación:</w:t>
      </w:r>
      <w:r w:rsidR="00306C90">
        <w:rPr>
          <w:lang w:val="es-ES"/>
        </w:rPr>
        <w:t xml:space="preserve"> </w:t>
      </w:r>
      <w:r w:rsidRPr="00306C90">
        <w:rPr>
          <w:lang w:val="es-ES"/>
        </w:rPr>
        <w:t>por la indeterminación de la escala del instrumento (escalas grandes para medir objetos pequeños y viceversa). El tipo de escala influye: a aguja, digital, continua, etc.</w:t>
      </w:r>
    </w:p>
    <w:p w14:paraId="04D735FA" w14:textId="77777777" w:rsidR="00B21F70" w:rsidRDefault="00B21F70" w:rsidP="00DD5FD9">
      <w:pPr>
        <w:spacing w:after="0"/>
        <w:ind w:left="567"/>
        <w:jc w:val="both"/>
        <w:rPr>
          <w:lang w:val="es-ES"/>
        </w:rPr>
      </w:pPr>
      <w:r>
        <w:rPr>
          <w:b/>
          <w:lang w:val="es-ES"/>
        </w:rPr>
        <w:t>Del instrumento:</w:t>
      </w:r>
      <w:r>
        <w:rPr>
          <w:lang w:val="es-ES"/>
        </w:rPr>
        <w:t xml:space="preserve"> desgaste del instrumento, mal funcionamiento, calibración incorrecta, </w:t>
      </w:r>
      <w:r w:rsidR="00A362D3">
        <w:rPr>
          <w:lang w:val="es-ES"/>
        </w:rPr>
        <w:t>etc.</w:t>
      </w:r>
    </w:p>
    <w:p w14:paraId="4F3E6081" w14:textId="77777777" w:rsidR="00DD5FD9" w:rsidRPr="00306C90" w:rsidRDefault="00DD5FD9" w:rsidP="00DD5FD9">
      <w:pPr>
        <w:spacing w:after="0"/>
        <w:ind w:left="567"/>
        <w:jc w:val="both"/>
        <w:rPr>
          <w:lang w:val="es-ES"/>
        </w:rPr>
      </w:pPr>
    </w:p>
    <w:p w14:paraId="270926E8" w14:textId="77777777" w:rsidR="00B167C7" w:rsidRDefault="00B167C7" w:rsidP="00B21F70">
      <w:pPr>
        <w:jc w:val="both"/>
        <w:rPr>
          <w:b/>
          <w:lang w:val="es-ES"/>
        </w:rPr>
      </w:pPr>
      <w:r w:rsidRPr="00134D27">
        <w:rPr>
          <w:b/>
          <w:lang w:val="es-ES"/>
        </w:rPr>
        <w:t>Expresión de una medida:</w:t>
      </w:r>
      <w:r w:rsidRPr="007A2F59">
        <w:rPr>
          <w:b/>
          <w:lang w:val="es-ES"/>
        </w:rPr>
        <w:t xml:space="preserve"> </w:t>
      </w:r>
      <w:r w:rsidR="00180174">
        <w:rPr>
          <w:b/>
          <w:lang w:val="es-ES"/>
        </w:rPr>
        <w:t xml:space="preserve">  </w:t>
      </w:r>
      <w:r w:rsidRPr="007A2F59">
        <w:rPr>
          <w:b/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L=</m:t>
        </m:r>
        <m:sSub>
          <m:sSubPr>
            <m:ctrlPr>
              <w:rPr>
                <w:rFonts w:ascii="Cambria Math" w:hAnsi="Cambria Math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( l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 xml:space="preserve">± Ea ) unidad </m:t>
        </m:r>
      </m:oMath>
      <w:r w:rsidR="004419F8" w:rsidRPr="007A2F59">
        <w:rPr>
          <w:b/>
          <w:lang w:val="es-ES"/>
        </w:rPr>
        <w:t xml:space="preserve"> </w:t>
      </w:r>
    </w:p>
    <w:p w14:paraId="2526574B" w14:textId="77777777" w:rsidR="00E26CCC" w:rsidRDefault="0094618A" w:rsidP="00B21F70">
      <w:pPr>
        <w:jc w:val="both"/>
        <w:rPr>
          <w:lang w:val="es-ES"/>
        </w:rPr>
      </w:pPr>
      <w:r>
        <w:rPr>
          <w:lang w:val="es-E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l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E26CCC">
        <w:rPr>
          <w:lang w:val="es-ES"/>
        </w:rPr>
        <w:t xml:space="preserve">  Valor más probable o valor central de la medición.</w:t>
      </w:r>
    </w:p>
    <w:p w14:paraId="4AEF96E3" w14:textId="77777777" w:rsidR="003C1EAB" w:rsidRPr="007A2F59" w:rsidRDefault="003C1EAB" w:rsidP="00B21F70">
      <w:pPr>
        <w:jc w:val="both"/>
        <w:rPr>
          <w:b/>
          <w:lang w:val="es-ES"/>
        </w:rPr>
      </w:pPr>
      <w:r w:rsidRPr="00134D27">
        <w:rPr>
          <w:b/>
          <w:lang w:val="es-ES"/>
        </w:rPr>
        <w:t>Intervalo de medición:</w:t>
      </w:r>
      <w:r w:rsidR="004419F8">
        <w:rPr>
          <w:lang w:val="es-ES"/>
        </w:rPr>
        <w:t xml:space="preserve">         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 xml:space="preserve">- Ea ;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+ Ea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 unidad</m:t>
        </m:r>
      </m:oMath>
    </w:p>
    <w:p w14:paraId="647C569B" w14:textId="77777777" w:rsidR="001F364D" w:rsidRDefault="00B167C7" w:rsidP="00B21F70">
      <w:pPr>
        <w:jc w:val="both"/>
        <w:rPr>
          <w:lang w:val="es-ES"/>
        </w:rPr>
      </w:pPr>
      <w:r w:rsidRPr="00134D27">
        <w:rPr>
          <w:b/>
          <w:lang w:val="es-ES"/>
        </w:rPr>
        <w:t xml:space="preserve">Error </w:t>
      </w:r>
      <w:r w:rsidR="00180174">
        <w:rPr>
          <w:b/>
          <w:lang w:val="es-ES"/>
        </w:rPr>
        <w:t>(incerteza</w:t>
      </w:r>
      <w:r w:rsidR="00B21F70">
        <w:rPr>
          <w:b/>
          <w:lang w:val="es-ES"/>
        </w:rPr>
        <w:t xml:space="preserve">) </w:t>
      </w:r>
      <w:r w:rsidRPr="00134D27">
        <w:rPr>
          <w:b/>
          <w:lang w:val="es-ES"/>
        </w:rPr>
        <w:t>absoluto</w:t>
      </w:r>
      <w:r w:rsidR="00BE335F" w:rsidRPr="00134D27">
        <w:rPr>
          <w:b/>
          <w:lang w:val="es-ES"/>
        </w:rPr>
        <w:t>:</w:t>
      </w:r>
      <w:r w:rsidR="001F364D">
        <w:rPr>
          <w:b/>
          <w:lang w:val="es-ES"/>
        </w:rPr>
        <w:t xml:space="preserve"> </w:t>
      </w:r>
      <w:r w:rsidR="001F364D">
        <w:rPr>
          <w:lang w:val="es-ES"/>
        </w:rPr>
        <w:t>es la diferencia, en valor absoluto, entre la medida tomada y el valor verdadero</w:t>
      </w:r>
      <w:r w:rsidR="009829D0">
        <w:rPr>
          <w:lang w:val="es-ES"/>
        </w:rPr>
        <w:t xml:space="preserve"> (que generalmente no se conoce)</w:t>
      </w:r>
      <w:r w:rsidR="001F364D">
        <w:rPr>
          <w:lang w:val="es-ES"/>
        </w:rPr>
        <w:t>.</w:t>
      </w:r>
    </w:p>
    <w:p w14:paraId="111377D7" w14:textId="77777777" w:rsidR="00B167C7" w:rsidRPr="00DD5FD9" w:rsidRDefault="00134D27" w:rsidP="00B21F70">
      <w:pPr>
        <w:jc w:val="both"/>
        <w:rPr>
          <w:lang w:val="es-ES"/>
        </w:rPr>
      </w:pPr>
      <w:r>
        <w:rPr>
          <w:b/>
          <w:lang w:val="es-ES"/>
        </w:rPr>
        <w:t xml:space="preserve"> </w:t>
      </w:r>
      <w:r w:rsidR="00BE335F"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Ea=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-L</m:t>
            </m:r>
          </m:e>
        </m:d>
      </m:oMath>
      <w:r>
        <w:rPr>
          <w:lang w:val="es-ES"/>
        </w:rPr>
        <w:t xml:space="preserve">   otras formas de </w:t>
      </w:r>
      <w:r w:rsidR="008C7568">
        <w:rPr>
          <w:lang w:val="es-ES"/>
        </w:rPr>
        <w:t>indicar</w:t>
      </w:r>
      <w:r>
        <w:rPr>
          <w:lang w:val="es-ES"/>
        </w:rPr>
        <w:t xml:space="preserve">lo son: </w:t>
      </w:r>
      <m:oMath>
        <m:r>
          <w:rPr>
            <w:rFonts w:ascii="Cambria Math" w:hAnsi="Cambria Math"/>
            <w:lang w:val="es-ES"/>
          </w:rPr>
          <m:t>∆a</m:t>
        </m:r>
      </m:oMath>
      <w:r>
        <w:rPr>
          <w:lang w:val="es-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ϵ</m:t>
            </m:r>
          </m:e>
          <m:sub>
            <m:r>
              <w:rPr>
                <w:rFonts w:ascii="Cambria Math" w:hAnsi="Cambria Math"/>
                <w:lang w:val="es-ES"/>
              </w:rPr>
              <m:t>a</m:t>
            </m:r>
          </m:sub>
        </m:sSub>
      </m:oMath>
      <w:r>
        <w:rPr>
          <w:lang w:val="es-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a</m:t>
            </m:r>
          </m:sub>
        </m:sSub>
      </m:oMath>
      <w:r w:rsidR="00DD5FD9">
        <w:rPr>
          <w:lang w:val="es-ES"/>
        </w:rPr>
        <w:t xml:space="preserve">. </w:t>
      </w:r>
      <w:r w:rsidR="004A2A6A" w:rsidRPr="004A2A6A">
        <w:rPr>
          <w:rFonts w:cs="Times New Roman"/>
          <w:shd w:val="clear" w:color="auto" w:fill="FFFFFF"/>
        </w:rPr>
        <w:t>El error absoluto es un indicador de la imprecisión que tiene una determinada media.</w:t>
      </w:r>
      <w:r w:rsidR="004A2A6A" w:rsidRPr="004A2A6A">
        <w:rPr>
          <w:rStyle w:val="apple-converted-space"/>
          <w:rFonts w:cs="Times New Roman"/>
          <w:shd w:val="clear" w:color="auto" w:fill="FFFFFF"/>
        </w:rPr>
        <w:t> </w:t>
      </w:r>
    </w:p>
    <w:p w14:paraId="32E92C6D" w14:textId="77777777" w:rsidR="00B167C7" w:rsidRDefault="00B167C7" w:rsidP="00B21F70">
      <w:pPr>
        <w:jc w:val="both"/>
        <w:rPr>
          <w:lang w:val="es-ES"/>
        </w:rPr>
      </w:pPr>
      <w:r w:rsidRPr="00134D27">
        <w:rPr>
          <w:b/>
          <w:lang w:val="es-ES"/>
        </w:rPr>
        <w:t>Error</w:t>
      </w:r>
      <w:r w:rsidR="00180174">
        <w:rPr>
          <w:b/>
          <w:lang w:val="es-ES"/>
        </w:rPr>
        <w:t xml:space="preserve"> (incerteza</w:t>
      </w:r>
      <w:r w:rsidR="007A2F59">
        <w:rPr>
          <w:b/>
          <w:lang w:val="es-ES"/>
        </w:rPr>
        <w:t>)</w:t>
      </w:r>
      <w:r w:rsidRPr="00134D27">
        <w:rPr>
          <w:b/>
          <w:lang w:val="es-ES"/>
        </w:rPr>
        <w:t xml:space="preserve"> relativo y relativo porcentual</w:t>
      </w:r>
      <w:r w:rsidR="00BE335F" w:rsidRPr="00134D27">
        <w:rPr>
          <w:b/>
          <w:lang w:val="es-ES"/>
        </w:rPr>
        <w:t>:</w:t>
      </w:r>
      <w:r w:rsidR="0008502A">
        <w:rPr>
          <w:lang w:val="es-ES"/>
        </w:rPr>
        <w:t xml:space="preserve"> </w:t>
      </w:r>
      <w:r w:rsidR="00417CEC">
        <w:rPr>
          <w:lang w:val="es-ES"/>
        </w:rPr>
        <w:t>El error relativ</w:t>
      </w:r>
      <w:r w:rsidR="004A2A6A">
        <w:rPr>
          <w:lang w:val="es-ES"/>
        </w:rPr>
        <w:t xml:space="preserve">o es el cociente entre el error </w:t>
      </w:r>
      <w:r w:rsidR="00417CEC">
        <w:rPr>
          <w:lang w:val="es-ES"/>
        </w:rPr>
        <w:t>absoluto y el valor más probable de la medición. Al multiplicarlo por 100 obtenemos el error relativo porcentual.</w:t>
      </w:r>
    </w:p>
    <w:p w14:paraId="365A29B7" w14:textId="77777777" w:rsidR="00B167C7" w:rsidRPr="00557C02" w:rsidRDefault="007A2F59" w:rsidP="00B21F70">
      <w:pPr>
        <w:jc w:val="both"/>
        <w:rPr>
          <w:b/>
          <w:lang w:val="es-ES"/>
        </w:rPr>
      </w:pPr>
      <w:r>
        <w:rPr>
          <w:b/>
          <w:lang w:val="es-ES"/>
        </w:rPr>
        <w:tab/>
      </w:r>
      <m:oMath>
        <m:r>
          <m:rPr>
            <m:sty m:val="bi"/>
          </m:rPr>
          <w:rPr>
            <w:rFonts w:ascii="Cambria Math" w:hAnsi="Cambria Math"/>
            <w:lang w:val="es-ES"/>
          </w:rPr>
          <m:t>Er=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ES"/>
              </w:rPr>
              <m:t>Ea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den>
        </m:f>
      </m:oMath>
      <w:r w:rsidR="0008502A">
        <w:rPr>
          <w:b/>
          <w:lang w:val="es-ES"/>
        </w:rPr>
        <w:t xml:space="preserve">                         </w:t>
      </w:r>
      <m:oMath>
        <m:r>
          <m:rPr>
            <m:sty m:val="bi"/>
          </m:rPr>
          <w:rPr>
            <w:rFonts w:ascii="Cambria Math" w:hAnsi="Cambria Math"/>
            <w:lang w:val="es-ES"/>
          </w:rPr>
          <m:t>Er%=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ES"/>
              </w:rPr>
              <m:t>Ea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lang w:val="es-ES"/>
          </w:rPr>
          <m:t>.100</m:t>
        </m:r>
      </m:oMath>
      <w:r w:rsidR="0008502A" w:rsidRPr="00134D27">
        <w:rPr>
          <w:b/>
          <w:lang w:val="es-ES"/>
        </w:rPr>
        <w:t xml:space="preserve">  </w:t>
      </w:r>
      <w:r w:rsidR="0008502A">
        <w:rPr>
          <w:lang w:val="es-ES"/>
        </w:rPr>
        <w:t xml:space="preserve">  </w:t>
      </w:r>
    </w:p>
    <w:p w14:paraId="3BFF1C56" w14:textId="77777777" w:rsidR="00B167C7" w:rsidRPr="00090186" w:rsidRDefault="00090186" w:rsidP="00B21F70">
      <w:pPr>
        <w:jc w:val="both"/>
        <w:rPr>
          <w:lang w:val="es-ES"/>
        </w:rPr>
      </w:pPr>
      <w:r w:rsidRPr="00090186">
        <w:rPr>
          <w:rFonts w:cs="Arial"/>
          <w:shd w:val="clear" w:color="auto" w:fill="FFFFFF"/>
        </w:rPr>
        <w:t xml:space="preserve">El error relativo </w:t>
      </w:r>
      <w:r>
        <w:rPr>
          <w:rFonts w:cs="Arial"/>
          <w:shd w:val="clear" w:color="auto" w:fill="FFFFFF"/>
        </w:rPr>
        <w:t>es un</w:t>
      </w:r>
      <w:r w:rsidRPr="00090186">
        <w:rPr>
          <w:rFonts w:cs="Arial"/>
          <w:shd w:val="clear" w:color="auto" w:fill="FFFFFF"/>
        </w:rPr>
        <w:t> indicador de la calidad de una medida.</w:t>
      </w:r>
      <w:r w:rsidRPr="00090186">
        <w:rPr>
          <w:rStyle w:val="apple-converted-space"/>
          <w:rFonts w:cs="Arial"/>
          <w:shd w:val="clear" w:color="auto" w:fill="FFFFFF"/>
        </w:rPr>
        <w:t> </w:t>
      </w:r>
    </w:p>
    <w:p w14:paraId="44EED453" w14:textId="77777777" w:rsidR="00F73B55" w:rsidRDefault="00C739E5" w:rsidP="00B21F70">
      <w:pPr>
        <w:jc w:val="both"/>
        <w:rPr>
          <w:lang w:val="es-ES"/>
        </w:rPr>
      </w:pPr>
      <w:r>
        <w:rPr>
          <w:lang w:val="es-ES"/>
        </w:rPr>
        <w:lastRenderedPageBreak/>
        <w:t>En el caso de varias mediciones:</w:t>
      </w:r>
    </w:p>
    <w:p w14:paraId="19546020" w14:textId="77777777" w:rsidR="00C739E5" w:rsidRDefault="00A75680" w:rsidP="007A2F59">
      <w:pPr>
        <w:jc w:val="both"/>
        <w:rPr>
          <w:lang w:val="es-ES"/>
        </w:rPr>
      </w:pPr>
      <w:r>
        <w:rPr>
          <w:lang w:val="es-ES"/>
        </w:rPr>
        <w:tab/>
        <w:t xml:space="preserve">Los errores sistemáticos pueden tender a desaparecer o reducirse considerablemente (cálculo de probabilidades) realizando la medición varias veces los errores por exceso y por defecto tienden a compensarse llegando así a la </w:t>
      </w:r>
      <w:r w:rsidRPr="00EF3B3B">
        <w:rPr>
          <w:b/>
          <w:lang w:val="es-ES"/>
        </w:rPr>
        <w:t>media aritmética</w:t>
      </w:r>
      <w:r>
        <w:rPr>
          <w:lang w:val="es-ES"/>
        </w:rPr>
        <w:t xml:space="preserve"> como el valor más probable:</w:t>
      </w:r>
    </w:p>
    <w:p w14:paraId="54F87BA6" w14:textId="77777777" w:rsidR="001F60E8" w:rsidRPr="00DD5FD9" w:rsidRDefault="00FB3881" w:rsidP="00F73B55">
      <w:pPr>
        <w:rPr>
          <w:b/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s-E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+…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n</m:t>
            </m:r>
          </m:den>
        </m:f>
      </m:oMath>
      <w:r w:rsidR="00DD5FD9">
        <w:rPr>
          <w:b/>
          <w:lang w:val="es-ES"/>
        </w:rPr>
        <w:tab/>
      </w:r>
      <w:r w:rsidR="00DD5FD9">
        <w:rPr>
          <w:b/>
          <w:lang w:val="es-ES"/>
        </w:rPr>
        <w:tab/>
      </w:r>
      <w:r w:rsidR="00DD5FD9">
        <w:rPr>
          <w:b/>
          <w:lang w:val="es-ES"/>
        </w:rPr>
        <w:tab/>
      </w:r>
      <w:r w:rsidR="001F60E8">
        <w:rPr>
          <w:lang w:val="es-ES"/>
        </w:rPr>
        <w:t xml:space="preserve">Donde las mediciones son:  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>;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 xml:space="preserve">  x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>;….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; x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</w:p>
    <w:p w14:paraId="5BAC68D8" w14:textId="77777777" w:rsidR="005557BB" w:rsidRPr="00433D34" w:rsidRDefault="00CD004D" w:rsidP="00F73B55">
      <w:pPr>
        <w:rPr>
          <w:lang w:val="es-ES"/>
        </w:rPr>
      </w:pPr>
      <w:r>
        <w:rPr>
          <w:lang w:val="es-ES"/>
        </w:rPr>
        <w:t xml:space="preserve">El </w:t>
      </w:r>
      <w:r w:rsidRPr="00EF3B3B">
        <w:rPr>
          <w:b/>
          <w:lang w:val="es-ES"/>
        </w:rPr>
        <w:t>error medio cuadrático</w:t>
      </w:r>
      <w:r>
        <w:rPr>
          <w:lang w:val="es-ES"/>
        </w:rPr>
        <w:t xml:space="preserve"> </w:t>
      </w:r>
      <w:r w:rsidR="00F10E1C">
        <w:rPr>
          <w:lang w:val="es-ES"/>
        </w:rPr>
        <w:t xml:space="preserve"> (dispersión) </w:t>
      </w:r>
      <w:r>
        <w:rPr>
          <w:lang w:val="es-ES"/>
        </w:rPr>
        <w:t>está dado por</w:t>
      </w:r>
      <w:r w:rsidR="00AB31C3">
        <w:rPr>
          <w:lang w:val="es-ES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  σ=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s-E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rad>
      </m:oMath>
      <w:r w:rsidR="00433D34">
        <w:rPr>
          <w:sz w:val="24"/>
          <w:szCs w:val="24"/>
          <w:lang w:val="es-ES"/>
        </w:rPr>
        <w:t xml:space="preserve"> </w:t>
      </w:r>
      <w:r w:rsidR="00433D34">
        <w:rPr>
          <w:lang w:val="es-ES"/>
        </w:rPr>
        <w:t>un valor pequeño significa que los valores se concentran alrededor del valor promedio.</w:t>
      </w:r>
    </w:p>
    <w:p w14:paraId="003F02A3" w14:textId="77777777" w:rsidR="00F10E1C" w:rsidRPr="005557BB" w:rsidRDefault="005557BB" w:rsidP="00F73B55">
      <w:pPr>
        <w:rPr>
          <w:b/>
          <w:sz w:val="28"/>
          <w:szCs w:val="28"/>
          <w:lang w:val="es-ES"/>
        </w:rPr>
      </w:pPr>
      <w:r>
        <w:rPr>
          <w:lang w:val="es-ES"/>
        </w:rPr>
        <w:t xml:space="preserve">El </w:t>
      </w:r>
      <w:r w:rsidRPr="00EF3B3B">
        <w:rPr>
          <w:b/>
          <w:lang w:val="es-ES"/>
        </w:rPr>
        <w:t>error medio cuadrático</w:t>
      </w:r>
      <w:r>
        <w:rPr>
          <w:b/>
          <w:lang w:val="es-ES"/>
        </w:rPr>
        <w:t xml:space="preserve"> promedio es: 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n</m:t>
                </m:r>
              </m:e>
            </m:rad>
          </m:den>
        </m:f>
      </m:oMath>
    </w:p>
    <w:p w14:paraId="0C54C45E" w14:textId="77777777" w:rsidR="00E951FD" w:rsidRDefault="00386B51" w:rsidP="00F73B55">
      <w:pPr>
        <w:rPr>
          <w:b/>
          <w:lang w:val="es-ES"/>
        </w:rPr>
      </w:pPr>
      <w:r w:rsidRPr="00386B51">
        <w:rPr>
          <w:lang w:val="es-ES"/>
        </w:rPr>
        <w:t xml:space="preserve">La expresión de la medida queda: </w:t>
      </w:r>
      <w:r>
        <w:rPr>
          <w:lang w:val="es-E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ES"/>
          </w:rPr>
          <m:t>x=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s-ES"/>
              </w:rPr>
              <m:t xml:space="preserve">  ±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 unidad </m:t>
        </m:r>
      </m:oMath>
      <w:r w:rsidRPr="007A2F59">
        <w:rPr>
          <w:b/>
          <w:lang w:val="es-ES"/>
        </w:rPr>
        <w:t xml:space="preserve">  </w:t>
      </w:r>
    </w:p>
    <w:p w14:paraId="2AFDF084" w14:textId="77777777" w:rsidR="00DD5FD9" w:rsidRDefault="00DD5FD9" w:rsidP="00F73B55">
      <w:pPr>
        <w:rPr>
          <w:lang w:val="es-ES"/>
        </w:rPr>
      </w:pPr>
      <w:r>
        <w:rPr>
          <w:b/>
          <w:lang w:val="es-ES"/>
        </w:rPr>
        <w:t xml:space="preserve">Ejemplo: </w:t>
      </w:r>
      <w:r w:rsidRPr="00DD5FD9">
        <w:rPr>
          <w:lang w:val="es-ES"/>
        </w:rPr>
        <w:t>Longitud de un tornillo</w:t>
      </w:r>
      <w:r>
        <w:rPr>
          <w:lang w:val="es-ES"/>
        </w:rPr>
        <w:t xml:space="preserve"> con una regla metálica</w:t>
      </w:r>
      <w:r w:rsidR="00AB31C3">
        <w:rPr>
          <w:lang w:val="es-ES"/>
        </w:rPr>
        <w:t>. Expresar su medida.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8"/>
        <w:gridCol w:w="1515"/>
        <w:gridCol w:w="1418"/>
        <w:gridCol w:w="2126"/>
      </w:tblGrid>
      <w:tr w:rsidR="00AB31C3" w14:paraId="1D683EB3" w14:textId="77777777" w:rsidTr="003B30D5">
        <w:tc>
          <w:tcPr>
            <w:tcW w:w="1843" w:type="dxa"/>
            <w:gridSpan w:val="2"/>
            <w:vAlign w:val="center"/>
          </w:tcPr>
          <w:p w14:paraId="6B00B9CE" w14:textId="77777777" w:rsidR="00AB31C3" w:rsidRDefault="00AB31C3" w:rsidP="00E00FEB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Medida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mm</m:t>
                  </m:r>
                </m:e>
              </m:d>
            </m:oMath>
          </w:p>
        </w:tc>
        <w:tc>
          <w:tcPr>
            <w:tcW w:w="1418" w:type="dxa"/>
            <w:vAlign w:val="center"/>
          </w:tcPr>
          <w:p w14:paraId="15E4F7D5" w14:textId="77777777" w:rsidR="00AB31C3" w:rsidRDefault="00FB3881" w:rsidP="00E00FEB">
            <w:pPr>
              <w:jc w:val="center"/>
              <w:rPr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0C04561D" w14:textId="77777777" w:rsidR="00AB31C3" w:rsidRDefault="00FB3881" w:rsidP="00E00FEB">
            <w:pPr>
              <w:jc w:val="center"/>
              <w:rPr>
                <w:b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s-E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AB31C3" w14:paraId="09FB36EA" w14:textId="77777777" w:rsidTr="003B30D5">
        <w:tc>
          <w:tcPr>
            <w:tcW w:w="328" w:type="dxa"/>
            <w:tcBorders>
              <w:right w:val="single" w:sz="4" w:space="0" w:color="auto"/>
            </w:tcBorders>
          </w:tcPr>
          <w:p w14:paraId="433A1A4A" w14:textId="77777777" w:rsidR="00AB31C3" w:rsidRDefault="00AB31C3" w:rsidP="00F73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  <w:tc>
          <w:tcPr>
            <w:tcW w:w="1515" w:type="dxa"/>
            <w:tcBorders>
              <w:left w:val="single" w:sz="4" w:space="0" w:color="auto"/>
            </w:tcBorders>
          </w:tcPr>
          <w:p w14:paraId="270F6ABE" w14:textId="77777777" w:rsidR="00AB31C3" w:rsidRDefault="00AB31C3" w:rsidP="00AB31C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86,1</w:t>
            </w:r>
          </w:p>
        </w:tc>
        <w:tc>
          <w:tcPr>
            <w:tcW w:w="1418" w:type="dxa"/>
          </w:tcPr>
          <w:p w14:paraId="157EB70B" w14:textId="77777777" w:rsidR="00AB31C3" w:rsidRDefault="00AB31C3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3940E76E" w14:textId="77777777" w:rsidR="00AB31C3" w:rsidRDefault="00AB31C3" w:rsidP="00F73B55">
            <w:pPr>
              <w:rPr>
                <w:b/>
                <w:lang w:val="es-ES"/>
              </w:rPr>
            </w:pPr>
          </w:p>
        </w:tc>
      </w:tr>
      <w:tr w:rsidR="00AB31C3" w14:paraId="6228FF23" w14:textId="77777777" w:rsidTr="003B30D5">
        <w:tc>
          <w:tcPr>
            <w:tcW w:w="328" w:type="dxa"/>
            <w:tcBorders>
              <w:right w:val="single" w:sz="4" w:space="0" w:color="auto"/>
            </w:tcBorders>
          </w:tcPr>
          <w:p w14:paraId="05765B38" w14:textId="77777777" w:rsidR="00AB31C3" w:rsidRDefault="00AB31C3" w:rsidP="00F73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1515" w:type="dxa"/>
            <w:tcBorders>
              <w:left w:val="single" w:sz="4" w:space="0" w:color="auto"/>
            </w:tcBorders>
          </w:tcPr>
          <w:p w14:paraId="28962D44" w14:textId="77777777" w:rsidR="00AB31C3" w:rsidRDefault="00AB31C3" w:rsidP="00AB31C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86,3</w:t>
            </w:r>
          </w:p>
        </w:tc>
        <w:tc>
          <w:tcPr>
            <w:tcW w:w="1418" w:type="dxa"/>
          </w:tcPr>
          <w:p w14:paraId="24534CD7" w14:textId="77777777" w:rsidR="00AB31C3" w:rsidRDefault="00AB31C3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2AB7A45B" w14:textId="77777777" w:rsidR="00AB31C3" w:rsidRDefault="00AB31C3" w:rsidP="00F73B55">
            <w:pPr>
              <w:rPr>
                <w:b/>
                <w:lang w:val="es-ES"/>
              </w:rPr>
            </w:pPr>
          </w:p>
        </w:tc>
      </w:tr>
      <w:tr w:rsidR="00AB31C3" w14:paraId="41719142" w14:textId="77777777" w:rsidTr="003B30D5">
        <w:tc>
          <w:tcPr>
            <w:tcW w:w="328" w:type="dxa"/>
            <w:tcBorders>
              <w:right w:val="single" w:sz="4" w:space="0" w:color="auto"/>
            </w:tcBorders>
          </w:tcPr>
          <w:p w14:paraId="59D0D7E0" w14:textId="77777777" w:rsidR="00AB31C3" w:rsidRDefault="00AB31C3" w:rsidP="00F73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1515" w:type="dxa"/>
            <w:tcBorders>
              <w:left w:val="single" w:sz="4" w:space="0" w:color="auto"/>
            </w:tcBorders>
          </w:tcPr>
          <w:p w14:paraId="3BF69760" w14:textId="77777777" w:rsidR="00AB31C3" w:rsidRDefault="00AB31C3" w:rsidP="00AB31C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86,3</w:t>
            </w:r>
          </w:p>
        </w:tc>
        <w:tc>
          <w:tcPr>
            <w:tcW w:w="1418" w:type="dxa"/>
          </w:tcPr>
          <w:p w14:paraId="7E1A0009" w14:textId="77777777" w:rsidR="00AB31C3" w:rsidRDefault="00AB31C3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46804205" w14:textId="77777777" w:rsidR="00AB31C3" w:rsidRDefault="00AB31C3" w:rsidP="00F73B55">
            <w:pPr>
              <w:rPr>
                <w:b/>
                <w:lang w:val="es-ES"/>
              </w:rPr>
            </w:pPr>
          </w:p>
        </w:tc>
      </w:tr>
      <w:tr w:rsidR="00AB31C3" w14:paraId="5358AA88" w14:textId="77777777" w:rsidTr="003B30D5">
        <w:tc>
          <w:tcPr>
            <w:tcW w:w="328" w:type="dxa"/>
            <w:tcBorders>
              <w:right w:val="single" w:sz="4" w:space="0" w:color="auto"/>
            </w:tcBorders>
          </w:tcPr>
          <w:p w14:paraId="3CDE69D8" w14:textId="77777777" w:rsidR="00AB31C3" w:rsidRDefault="00AB31C3" w:rsidP="00F73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1515" w:type="dxa"/>
            <w:tcBorders>
              <w:left w:val="single" w:sz="4" w:space="0" w:color="auto"/>
            </w:tcBorders>
          </w:tcPr>
          <w:p w14:paraId="3B8F4748" w14:textId="77777777" w:rsidR="00AB31C3" w:rsidRDefault="00AB31C3" w:rsidP="00AB31C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86,5</w:t>
            </w:r>
          </w:p>
        </w:tc>
        <w:tc>
          <w:tcPr>
            <w:tcW w:w="1418" w:type="dxa"/>
          </w:tcPr>
          <w:p w14:paraId="02AE5766" w14:textId="77777777" w:rsidR="00AB31C3" w:rsidRDefault="00AB31C3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755B870B" w14:textId="77777777" w:rsidR="00AB31C3" w:rsidRDefault="00AB31C3" w:rsidP="00F73B55">
            <w:pPr>
              <w:rPr>
                <w:b/>
                <w:lang w:val="es-ES"/>
              </w:rPr>
            </w:pPr>
          </w:p>
        </w:tc>
      </w:tr>
      <w:tr w:rsidR="00AB31C3" w14:paraId="5A395032" w14:textId="77777777" w:rsidTr="003B30D5">
        <w:tc>
          <w:tcPr>
            <w:tcW w:w="328" w:type="dxa"/>
            <w:tcBorders>
              <w:right w:val="single" w:sz="4" w:space="0" w:color="auto"/>
            </w:tcBorders>
          </w:tcPr>
          <w:p w14:paraId="0B9305CA" w14:textId="77777777" w:rsidR="00AB31C3" w:rsidRDefault="00AB31C3" w:rsidP="00F73B55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1515" w:type="dxa"/>
            <w:tcBorders>
              <w:left w:val="single" w:sz="4" w:space="0" w:color="auto"/>
              <w:right w:val="single" w:sz="4" w:space="0" w:color="auto"/>
            </w:tcBorders>
          </w:tcPr>
          <w:p w14:paraId="2251DCD1" w14:textId="77777777" w:rsidR="00AB31C3" w:rsidRDefault="00AB31C3" w:rsidP="00AB31C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86,2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9910DE0" w14:textId="77777777" w:rsidR="00AB31C3" w:rsidRDefault="00AB31C3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</w:tcPr>
          <w:p w14:paraId="0CCE1CF3" w14:textId="77777777" w:rsidR="00AB31C3" w:rsidRDefault="00AB31C3" w:rsidP="00F73B55">
            <w:pPr>
              <w:rPr>
                <w:b/>
                <w:lang w:val="es-ES"/>
              </w:rPr>
            </w:pPr>
          </w:p>
        </w:tc>
      </w:tr>
      <w:tr w:rsidR="00634085" w14:paraId="406E8600" w14:textId="77777777" w:rsidTr="00D432F0"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77A9" w14:textId="77777777" w:rsidR="00634085" w:rsidRDefault="00FB3881" w:rsidP="00D432F0">
            <w:pPr>
              <w:rPr>
                <w:b/>
                <w:lang w:val="es-E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E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=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auto"/>
              <w:bottom w:val="nil"/>
            </w:tcBorders>
          </w:tcPr>
          <w:p w14:paraId="4FE98501" w14:textId="77777777" w:rsidR="00634085" w:rsidRDefault="00634085" w:rsidP="00F73B55">
            <w:pPr>
              <w:rPr>
                <w:b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CA065CF" w14:textId="4B6BCCA6" w:rsidR="00634085" w:rsidRDefault="00B86682" w:rsidP="00D432F0">
            <w:pPr>
              <w:rPr>
                <w:b/>
                <w:lang w:val="es-E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A20D18" wp14:editId="53E320BD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201295</wp:posOffset>
                      </wp:positionV>
                      <wp:extent cx="1476375" cy="646430"/>
                      <wp:effectExtent l="6985" t="10795" r="12065" b="9525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646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36029" w14:textId="77777777" w:rsidR="000B5CA5" w:rsidRPr="000B5CA5" w:rsidRDefault="000B5CA5">
                                  <w:pPr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B5CA5">
                                    <w:rPr>
                                      <w:rFonts w:ascii="Comic Sans MS" w:hAnsi="Comic Sans MS"/>
                                      <w:b/>
                                      <w:i/>
                                      <w:sz w:val="20"/>
                                      <w:szCs w:val="20"/>
                                      <w:lang w:val="es-ES"/>
                                    </w:rPr>
                                    <w:t>Respuesta: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20D18" id="Rectangle 4" o:spid="_x0000_s1026" style="position:absolute;margin-left:187.3pt;margin-top:15.85pt;width:116.25pt;height:5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">
                      <v:textbox>
                        <w:txbxContent>
                          <w:p w14:paraId="75C36029" w14:textId="77777777" w:rsidR="000B5CA5" w:rsidRPr="000B5CA5" w:rsidRDefault="000B5CA5">
                            <w:pPr>
                              <w:rPr>
                                <w:rFonts w:ascii="Comic Sans MS" w:hAnsi="Comic Sans MS"/>
                                <w:b/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B5CA5">
                              <w:rPr>
                                <w:rFonts w:ascii="Comic Sans MS" w:hAnsi="Comic Sans MS"/>
                                <w:b/>
                                <w:i/>
                                <w:sz w:val="20"/>
                                <w:szCs w:val="20"/>
                                <w:lang w:val="es-ES"/>
                              </w:rPr>
                              <w:t>Respuesta: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s-E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l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=</m:t>
                  </m:r>
                </m:e>
              </m:nary>
            </m:oMath>
          </w:p>
        </w:tc>
      </w:tr>
    </w:tbl>
    <w:p w14:paraId="6B1772A2" w14:textId="50C81411" w:rsidR="00DD5FD9" w:rsidRDefault="00B86682" w:rsidP="00F73B55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D46C1" wp14:editId="6AAED902">
                <wp:simplePos x="0" y="0"/>
                <wp:positionH relativeFrom="column">
                  <wp:posOffset>3577590</wp:posOffset>
                </wp:positionH>
                <wp:positionV relativeFrom="paragraph">
                  <wp:posOffset>60325</wp:posOffset>
                </wp:positionV>
                <wp:extent cx="361950" cy="457200"/>
                <wp:effectExtent l="9525" t="8255" r="9525" b="1079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1151" id="Rectangle 3" o:spid="_x0000_s1026" style="position:absolute;margin-left:281.7pt;margin-top:4.75pt;width:28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04FD4" wp14:editId="0FD16B26">
                <wp:simplePos x="0" y="0"/>
                <wp:positionH relativeFrom="column">
                  <wp:posOffset>1701165</wp:posOffset>
                </wp:positionH>
                <wp:positionV relativeFrom="paragraph">
                  <wp:posOffset>60325</wp:posOffset>
                </wp:positionV>
                <wp:extent cx="361950" cy="457200"/>
                <wp:effectExtent l="9525" t="8255" r="9525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55AB9" id="Rectangle 2" o:spid="_x0000_s1026" style="position:absolute;margin-left:133.95pt;margin-top:4.75pt;width:28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"/>
            </w:pict>
          </mc:Fallback>
        </mc:AlternateConten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 σ=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s-E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E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  <w:szCs w:val="24"/>
                                    <w:lang w:val="es-E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E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/>
              <m:den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  5   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es-ES"/>
              </w:rPr>
              <m:t xml:space="preserve">  </m:t>
            </m:r>
          </m:e>
        </m:rad>
        <m:r>
          <w:rPr>
            <w:rFonts w:ascii="Cambria Math" w:hAnsi="Cambria Math"/>
            <w:sz w:val="24"/>
            <w:szCs w:val="24"/>
            <w:lang w:val="es-ES"/>
          </w:rPr>
          <m:t xml:space="preserve">=        </m:t>
        </m:r>
      </m:oMath>
      <w:r w:rsidR="00634085">
        <w:rPr>
          <w:sz w:val="24"/>
          <w:szCs w:val="24"/>
          <w:lang w:val="es-ES"/>
        </w:rPr>
        <w:t xml:space="preserve">   </w:t>
      </w:r>
      <w:r w:rsidR="00AB31C3">
        <w:rPr>
          <w:sz w:val="24"/>
          <w:szCs w:val="24"/>
          <w:lang w:val="es-ES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→ϵ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n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fPr>
          <m:num/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5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es-ES"/>
          </w:rPr>
          <m:t>=             →</m:t>
        </m:r>
      </m:oMath>
      <w:r w:rsidR="00AB31C3">
        <w:rPr>
          <w:b/>
          <w:sz w:val="28"/>
          <w:szCs w:val="28"/>
          <w:lang w:val="es-ES"/>
        </w:rPr>
        <w:t xml:space="preserve">   </w:t>
      </w:r>
    </w:p>
    <w:p w14:paraId="7D959960" w14:textId="77777777" w:rsidR="00E72567" w:rsidRPr="00E72567" w:rsidRDefault="00E72567" w:rsidP="00F73B55">
      <w:pPr>
        <w:rPr>
          <w:lang w:val="es-ES"/>
        </w:rPr>
      </w:pPr>
      <w:r w:rsidRPr="00E72567">
        <w:rPr>
          <w:b/>
          <w:lang w:val="es-ES"/>
        </w:rPr>
        <w:t>Propagación de errores:</w:t>
      </w:r>
      <w:r>
        <w:rPr>
          <w:b/>
          <w:lang w:val="es-ES"/>
        </w:rPr>
        <w:t xml:space="preserve"> </w:t>
      </w:r>
    </w:p>
    <w:tbl>
      <w:tblPr>
        <w:tblStyle w:val="Tablaconcuadrcula"/>
        <w:tblW w:w="9338" w:type="dxa"/>
        <w:tblLook w:val="04A0" w:firstRow="1" w:lastRow="0" w:firstColumn="1" w:lastColumn="0" w:noHBand="0" w:noVBand="1"/>
      </w:tblPr>
      <w:tblGrid>
        <w:gridCol w:w="2992"/>
        <w:gridCol w:w="3353"/>
        <w:gridCol w:w="2993"/>
      </w:tblGrid>
      <w:tr w:rsidR="000068E2" w14:paraId="1848EC49" w14:textId="77777777" w:rsidTr="00D92069">
        <w:tc>
          <w:tcPr>
            <w:tcW w:w="2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29E0B2" w14:textId="77777777" w:rsidR="005D7D9A" w:rsidRDefault="000068E2" w:rsidP="005D7D9A">
            <w:pPr>
              <w:rPr>
                <w:b/>
                <w:lang w:val="es-ES"/>
              </w:rPr>
            </w:pPr>
            <w:r w:rsidRPr="002B5BFE">
              <w:rPr>
                <w:b/>
                <w:lang w:val="es-ES"/>
              </w:rPr>
              <w:t>Datos:</w:t>
            </w:r>
            <w:r w:rsidR="005D7D9A">
              <w:rPr>
                <w:b/>
                <w:lang w:val="es-ES"/>
              </w:rPr>
              <w:t xml:space="preserve">  </w:t>
            </w:r>
            <w:r w:rsidRPr="002B5BFE">
              <w:rPr>
                <w:b/>
                <w:lang w:val="es-ES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±∆x</m:t>
              </m:r>
            </m:oMath>
            <w:r w:rsidR="005D7D9A">
              <w:rPr>
                <w:b/>
                <w:lang w:val="es-ES"/>
              </w:rPr>
              <w:t xml:space="preserve">     </w:t>
            </w:r>
          </w:p>
          <w:p w14:paraId="349E115D" w14:textId="77777777" w:rsidR="000068E2" w:rsidRPr="002B5BFE" w:rsidRDefault="002B5BFE" w:rsidP="005D7D9A">
            <w:pPr>
              <w:rPr>
                <w:b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±∆y</m:t>
                </m:r>
              </m:oMath>
            </m:oMathPara>
          </w:p>
        </w:tc>
        <w:tc>
          <w:tcPr>
            <w:tcW w:w="3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0CEAA3" w14:textId="77777777" w:rsidR="000068E2" w:rsidRPr="002B5BFE" w:rsidRDefault="000903D7" w:rsidP="002B5BF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I</w:t>
            </w:r>
            <w:r w:rsidR="000068E2" w:rsidRPr="002B5BFE">
              <w:rPr>
                <w:b/>
                <w:lang w:val="es-ES"/>
              </w:rPr>
              <w:t>ncertezas</w:t>
            </w:r>
          </w:p>
          <w:p w14:paraId="1D923E7E" w14:textId="77777777" w:rsidR="000068E2" w:rsidRPr="002B5BFE" w:rsidRDefault="000068E2" w:rsidP="002B5BFE">
            <w:pPr>
              <w:jc w:val="center"/>
              <w:rPr>
                <w:b/>
                <w:lang w:val="es-ES"/>
              </w:rPr>
            </w:pPr>
            <w:r w:rsidRPr="002B5BFE">
              <w:rPr>
                <w:b/>
                <w:lang w:val="es-ES"/>
              </w:rPr>
              <w:t>(absolutas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 xml:space="preserve"> =∆</m:t>
              </m:r>
            </m:oMath>
            <w:r w:rsidRPr="002B5BFE">
              <w:rPr>
                <w:b/>
                <w:lang w:val="es-ES"/>
              </w:rPr>
              <w:t xml:space="preserve"> o  relativas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=Er</m:t>
              </m:r>
            </m:oMath>
            <w:r w:rsidRPr="002B5BFE">
              <w:rPr>
                <w:b/>
                <w:lang w:val="es-ES"/>
              </w:rPr>
              <w:t>)</w:t>
            </w:r>
          </w:p>
        </w:tc>
        <w:tc>
          <w:tcPr>
            <w:tcW w:w="2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7421FF" w14:textId="77777777" w:rsidR="000068E2" w:rsidRPr="002B5BFE" w:rsidRDefault="000068E2" w:rsidP="002B5BFE">
            <w:pPr>
              <w:jc w:val="center"/>
              <w:rPr>
                <w:b/>
                <w:lang w:val="es-ES"/>
              </w:rPr>
            </w:pPr>
            <w:r w:rsidRPr="002B5BFE">
              <w:rPr>
                <w:b/>
                <w:lang w:val="es-ES"/>
              </w:rPr>
              <w:t>Expresión de la medida</w:t>
            </w:r>
          </w:p>
        </w:tc>
      </w:tr>
      <w:tr w:rsidR="004B3717" w14:paraId="3C4FB4E9" w14:textId="77777777" w:rsidTr="00D92069">
        <w:trPr>
          <w:trHeight w:val="567"/>
        </w:trPr>
        <w:tc>
          <w:tcPr>
            <w:tcW w:w="2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09D6C49" w14:textId="77777777" w:rsidR="004B3717" w:rsidRDefault="004B371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Z=x+y</m:t>
                </m:r>
              </m:oMath>
            </m:oMathPara>
          </w:p>
        </w:tc>
        <w:tc>
          <w:tcPr>
            <w:tcW w:w="335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4FF619" w14:textId="77777777" w:rsidR="004B3717" w:rsidRDefault="0081530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∆z=∆x+∆y</m:t>
                </m:r>
              </m:oMath>
            </m:oMathPara>
          </w:p>
        </w:tc>
        <w:tc>
          <w:tcPr>
            <w:tcW w:w="29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A10529" w14:textId="77777777" w:rsidR="004B3717" w:rsidRDefault="00020368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)±∆z</m:t>
                </m:r>
              </m:oMath>
            </m:oMathPara>
          </w:p>
        </w:tc>
      </w:tr>
      <w:tr w:rsidR="004B3717" w14:paraId="12B9A65B" w14:textId="77777777" w:rsidTr="00D92069">
        <w:trPr>
          <w:trHeight w:val="567"/>
        </w:trPr>
        <w:tc>
          <w:tcPr>
            <w:tcW w:w="29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DC1F44" w14:textId="77777777" w:rsidR="004B3717" w:rsidRDefault="004B371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Z=x-y</m:t>
                </m:r>
              </m:oMath>
            </m:oMathPara>
          </w:p>
        </w:tc>
        <w:tc>
          <w:tcPr>
            <w:tcW w:w="335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A86A18" w14:textId="77777777" w:rsidR="004B3717" w:rsidRDefault="004B3717" w:rsidP="00D92069">
            <w:pPr>
              <w:jc w:val="center"/>
              <w:rPr>
                <w:lang w:val="es-ES"/>
              </w:rPr>
            </w:pPr>
          </w:p>
        </w:tc>
        <w:tc>
          <w:tcPr>
            <w:tcW w:w="29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FACDE5" w14:textId="77777777" w:rsidR="004B3717" w:rsidRDefault="001B4C25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)±∆z</m:t>
                </m:r>
              </m:oMath>
            </m:oMathPara>
          </w:p>
        </w:tc>
      </w:tr>
      <w:tr w:rsidR="004B3717" w14:paraId="2D5C85BF" w14:textId="77777777" w:rsidTr="00D92069">
        <w:trPr>
          <w:trHeight w:val="567"/>
        </w:trPr>
        <w:tc>
          <w:tcPr>
            <w:tcW w:w="299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2FB491" w14:textId="77777777" w:rsidR="004B3717" w:rsidRDefault="004B371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Z=x ∙y</m:t>
                </m:r>
              </m:oMath>
            </m:oMathPara>
          </w:p>
        </w:tc>
        <w:tc>
          <w:tcPr>
            <w:tcW w:w="335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C2F11C3" w14:textId="77777777" w:rsidR="004B3717" w:rsidRDefault="0081530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Er(z)=Er(x)+Er(y)</m:t>
                </m:r>
              </m:oMath>
            </m:oMathPara>
          </w:p>
        </w:tc>
        <w:tc>
          <w:tcPr>
            <w:tcW w:w="299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C9660B" w14:textId="77777777" w:rsidR="004B3717" w:rsidRDefault="001B4C25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)±∆z</m:t>
                </m:r>
              </m:oMath>
            </m:oMathPara>
          </w:p>
        </w:tc>
      </w:tr>
      <w:tr w:rsidR="004B3717" w14:paraId="4FDA588E" w14:textId="77777777" w:rsidTr="00D92069">
        <w:trPr>
          <w:trHeight w:val="567"/>
        </w:trPr>
        <w:tc>
          <w:tcPr>
            <w:tcW w:w="299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83AA61" w14:textId="77777777" w:rsidR="004B3717" w:rsidRDefault="004B3717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335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2C3BB5" w14:textId="77777777" w:rsidR="004B3717" w:rsidRDefault="004B3717" w:rsidP="00D92069">
            <w:pPr>
              <w:jc w:val="center"/>
              <w:rPr>
                <w:lang w:val="es-ES"/>
              </w:rPr>
            </w:pPr>
          </w:p>
        </w:tc>
        <w:tc>
          <w:tcPr>
            <w:tcW w:w="29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FB5AE2" w14:textId="77777777" w:rsidR="004B3717" w:rsidRDefault="001B4C25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±∆z</m:t>
                </m:r>
              </m:oMath>
            </m:oMathPara>
          </w:p>
        </w:tc>
      </w:tr>
      <w:tr w:rsidR="000068E2" w14:paraId="7F2195D7" w14:textId="77777777" w:rsidTr="00D92069">
        <w:trPr>
          <w:trHeight w:val="794"/>
        </w:trPr>
        <w:tc>
          <w:tcPr>
            <w:tcW w:w="2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84323B" w14:textId="77777777" w:rsidR="000068E2" w:rsidRDefault="00497D3E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Z=f(x;y;…)</m:t>
                </m:r>
              </m:oMath>
            </m:oMathPara>
          </w:p>
        </w:tc>
        <w:tc>
          <w:tcPr>
            <w:tcW w:w="3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87B177" w14:textId="77777777" w:rsidR="000068E2" w:rsidRDefault="00F2167B" w:rsidP="006B47BB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∆z=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 xml:space="preserve">+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+…</m:t>
                </m:r>
              </m:oMath>
            </m:oMathPara>
          </w:p>
        </w:tc>
        <w:tc>
          <w:tcPr>
            <w:tcW w:w="2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AFE644" w14:textId="77777777" w:rsidR="000068E2" w:rsidRDefault="001B4C25" w:rsidP="00D92069">
            <w:pPr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Z=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 xml:space="preserve">f 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E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0;….)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  <w:lang w:val="es-ES"/>
                  </w:rPr>
                  <m:t>±∆z</m:t>
                </m:r>
              </m:oMath>
            </m:oMathPara>
          </w:p>
        </w:tc>
      </w:tr>
    </w:tbl>
    <w:p w14:paraId="467E62D3" w14:textId="77777777" w:rsidR="00BC0124" w:rsidRPr="008E688B" w:rsidRDefault="00BC0124">
      <w:pPr>
        <w:rPr>
          <w:b/>
          <w:lang w:val="es-ES"/>
        </w:rPr>
      </w:pPr>
    </w:p>
    <w:sectPr w:rsidR="00BC0124" w:rsidRPr="008E688B" w:rsidSect="00211849">
      <w:headerReference w:type="default" r:id="rId6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53499" w14:textId="77777777" w:rsidR="00FB3881" w:rsidRDefault="00FB3881" w:rsidP="004E0329">
      <w:pPr>
        <w:spacing w:after="0" w:line="240" w:lineRule="auto"/>
      </w:pPr>
      <w:r>
        <w:separator/>
      </w:r>
    </w:p>
  </w:endnote>
  <w:endnote w:type="continuationSeparator" w:id="0">
    <w:p w14:paraId="02676558" w14:textId="77777777" w:rsidR="00FB3881" w:rsidRDefault="00FB3881" w:rsidP="004E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C4DE" w14:textId="77777777" w:rsidR="00FB3881" w:rsidRDefault="00FB3881" w:rsidP="004E0329">
      <w:pPr>
        <w:spacing w:after="0" w:line="240" w:lineRule="auto"/>
      </w:pPr>
      <w:r>
        <w:separator/>
      </w:r>
    </w:p>
  </w:footnote>
  <w:footnote w:type="continuationSeparator" w:id="0">
    <w:p w14:paraId="201943A2" w14:textId="77777777" w:rsidR="00FB3881" w:rsidRDefault="00FB3881" w:rsidP="004E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54B13" w14:textId="77777777" w:rsidR="004E0329" w:rsidRDefault="004E0329" w:rsidP="004E0329">
    <w:pPr>
      <w:pStyle w:val="Encabezado"/>
      <w:jc w:val="right"/>
    </w:pPr>
    <w:r>
      <w:t>Física General</w:t>
    </w:r>
  </w:p>
  <w:p w14:paraId="625DD2A5" w14:textId="77777777" w:rsidR="004E0329" w:rsidRDefault="004E03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9"/>
    <w:rsid w:val="000068E2"/>
    <w:rsid w:val="00020368"/>
    <w:rsid w:val="00043B57"/>
    <w:rsid w:val="00064FDC"/>
    <w:rsid w:val="0008502A"/>
    <w:rsid w:val="00090186"/>
    <w:rsid w:val="000903D7"/>
    <w:rsid w:val="000B5CA5"/>
    <w:rsid w:val="000D0968"/>
    <w:rsid w:val="00134D27"/>
    <w:rsid w:val="00177F6C"/>
    <w:rsid w:val="00180174"/>
    <w:rsid w:val="001B4C25"/>
    <w:rsid w:val="001F364D"/>
    <w:rsid w:val="001F60E8"/>
    <w:rsid w:val="00211849"/>
    <w:rsid w:val="0022017D"/>
    <w:rsid w:val="002227A2"/>
    <w:rsid w:val="0022477D"/>
    <w:rsid w:val="0023337F"/>
    <w:rsid w:val="002A5F36"/>
    <w:rsid w:val="002B5BFE"/>
    <w:rsid w:val="002D170C"/>
    <w:rsid w:val="002D7CEE"/>
    <w:rsid w:val="002F78F6"/>
    <w:rsid w:val="00304F66"/>
    <w:rsid w:val="00306C90"/>
    <w:rsid w:val="00314479"/>
    <w:rsid w:val="00320F59"/>
    <w:rsid w:val="00326AE6"/>
    <w:rsid w:val="00385B12"/>
    <w:rsid w:val="00386B51"/>
    <w:rsid w:val="003B1F63"/>
    <w:rsid w:val="003B30D5"/>
    <w:rsid w:val="003C1EAB"/>
    <w:rsid w:val="00417CEC"/>
    <w:rsid w:val="00426CA3"/>
    <w:rsid w:val="00433D34"/>
    <w:rsid w:val="004419F8"/>
    <w:rsid w:val="00497D3E"/>
    <w:rsid w:val="004A2A6A"/>
    <w:rsid w:val="004B3717"/>
    <w:rsid w:val="004E0329"/>
    <w:rsid w:val="005557BB"/>
    <w:rsid w:val="00557C02"/>
    <w:rsid w:val="005D7D9A"/>
    <w:rsid w:val="005F3196"/>
    <w:rsid w:val="006334E8"/>
    <w:rsid w:val="00634085"/>
    <w:rsid w:val="00663752"/>
    <w:rsid w:val="0067566E"/>
    <w:rsid w:val="006B47BB"/>
    <w:rsid w:val="007A2F59"/>
    <w:rsid w:val="007C0957"/>
    <w:rsid w:val="007D1868"/>
    <w:rsid w:val="00804BD4"/>
    <w:rsid w:val="00815307"/>
    <w:rsid w:val="00821346"/>
    <w:rsid w:val="0082406F"/>
    <w:rsid w:val="008B6E80"/>
    <w:rsid w:val="008C7568"/>
    <w:rsid w:val="008D0ACB"/>
    <w:rsid w:val="008E688B"/>
    <w:rsid w:val="00907DEB"/>
    <w:rsid w:val="00940225"/>
    <w:rsid w:val="0094618A"/>
    <w:rsid w:val="00977338"/>
    <w:rsid w:val="009829D0"/>
    <w:rsid w:val="009F7812"/>
    <w:rsid w:val="00A26CF3"/>
    <w:rsid w:val="00A362D3"/>
    <w:rsid w:val="00A513C9"/>
    <w:rsid w:val="00A55717"/>
    <w:rsid w:val="00A75680"/>
    <w:rsid w:val="00AB31C3"/>
    <w:rsid w:val="00B167C7"/>
    <w:rsid w:val="00B21F70"/>
    <w:rsid w:val="00B86682"/>
    <w:rsid w:val="00BB422D"/>
    <w:rsid w:val="00BC0124"/>
    <w:rsid w:val="00BE335F"/>
    <w:rsid w:val="00C3763D"/>
    <w:rsid w:val="00C739E5"/>
    <w:rsid w:val="00CD004D"/>
    <w:rsid w:val="00D432F0"/>
    <w:rsid w:val="00D92069"/>
    <w:rsid w:val="00DD5FD9"/>
    <w:rsid w:val="00DF5CF0"/>
    <w:rsid w:val="00E00FEB"/>
    <w:rsid w:val="00E26CCC"/>
    <w:rsid w:val="00E52FBE"/>
    <w:rsid w:val="00E67CE6"/>
    <w:rsid w:val="00E72567"/>
    <w:rsid w:val="00E951FD"/>
    <w:rsid w:val="00EC34A8"/>
    <w:rsid w:val="00EE762E"/>
    <w:rsid w:val="00EF3B3B"/>
    <w:rsid w:val="00F036AF"/>
    <w:rsid w:val="00F10E1C"/>
    <w:rsid w:val="00F2167B"/>
    <w:rsid w:val="00F66713"/>
    <w:rsid w:val="00F73B55"/>
    <w:rsid w:val="00F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50E8"/>
  <w15:docId w15:val="{CD94FF99-0DE4-4614-BCB4-9AA8A45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329"/>
  </w:style>
  <w:style w:type="paragraph" w:styleId="Piedepgina">
    <w:name w:val="footer"/>
    <w:basedOn w:val="Normal"/>
    <w:link w:val="PiedepginaCar"/>
    <w:uiPriority w:val="99"/>
    <w:semiHidden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0329"/>
  </w:style>
  <w:style w:type="paragraph" w:styleId="Textodeglobo">
    <w:name w:val="Balloon Text"/>
    <w:basedOn w:val="Normal"/>
    <w:link w:val="TextodegloboCar"/>
    <w:uiPriority w:val="99"/>
    <w:semiHidden/>
    <w:unhideWhenUsed/>
    <w:rsid w:val="004E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3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167C7"/>
    <w:rPr>
      <w:color w:val="808080"/>
    </w:rPr>
  </w:style>
  <w:style w:type="character" w:customStyle="1" w:styleId="apple-converted-space">
    <w:name w:val="apple-converted-space"/>
    <w:basedOn w:val="Fuentedeprrafopredeter"/>
    <w:rsid w:val="004A2A6A"/>
  </w:style>
  <w:style w:type="table" w:styleId="Tablaconcuadrcula">
    <w:name w:val="Table Grid"/>
    <w:basedOn w:val="Tablanormal"/>
    <w:uiPriority w:val="59"/>
    <w:rsid w:val="000068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14A21-7B8F-4341-ABDF-DBE853883495}"/>
</file>

<file path=customXml/itemProps2.xml><?xml version="1.0" encoding="utf-8"?>
<ds:datastoreItem xmlns:ds="http://schemas.openxmlformats.org/officeDocument/2006/customXml" ds:itemID="{C21F25E8-BC7D-4AE8-9379-6849E4F78182}"/>
</file>

<file path=customXml/itemProps3.xml><?xml version="1.0" encoding="utf-8"?>
<ds:datastoreItem xmlns:ds="http://schemas.openxmlformats.org/officeDocument/2006/customXml" ds:itemID="{0691D0C3-A21D-4F62-9FA9-73B223FBF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 COMPUTERS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Vaca</dc:creator>
  <cp:keywords/>
  <dc:description/>
  <cp:lastModifiedBy>Mastrangelo Susana</cp:lastModifiedBy>
  <cp:revision>2</cp:revision>
  <dcterms:created xsi:type="dcterms:W3CDTF">2020-03-15T13:09:00Z</dcterms:created>
  <dcterms:modified xsi:type="dcterms:W3CDTF">2020-03-15T13:09:00Z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