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harts/style3.xml" ContentType="application/vnd.ms-office.chartstyle+xml"/>
  <Override PartName="/word/charts/colors3.xml" ContentType="application/vnd.ms-office.chartcolor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style2.xml" ContentType="application/vnd.ms-office.chart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olors2.xml" ContentType="application/vnd.ms-office.chartcolorsty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F7" w:rsidRDefault="00202FF7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del </w:t>
      </w:r>
      <w:r w:rsidR="00EE212D">
        <w:rPr>
          <w:rFonts w:ascii="Arial" w:hAnsi="Arial" w:cs="Arial"/>
          <w:b/>
        </w:rPr>
        <w:t>Trabajo Práctico N°5</w:t>
      </w:r>
      <w:r>
        <w:rPr>
          <w:rFonts w:ascii="Arial" w:hAnsi="Arial" w:cs="Arial"/>
          <w:b/>
        </w:rPr>
        <w:t xml:space="preserve"> de Química General</w:t>
      </w:r>
    </w:p>
    <w:p w:rsidR="00202FF7" w:rsidRDefault="00EE212D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Soluciones</w:t>
      </w:r>
    </w:p>
    <w:p w:rsidR="00E97109" w:rsidRDefault="00E97109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Objetivo</w:t>
      </w:r>
      <w:r w:rsidR="00EE212D">
        <w:rPr>
          <w:rFonts w:ascii="Arial" w:hAnsi="Arial" w:cs="Arial"/>
          <w:b/>
          <w:sz w:val="20"/>
          <w:szCs w:val="20"/>
        </w:rPr>
        <w:t>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EE212D" w:rsidRDefault="00EE212D" w:rsidP="00EE21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Preparar una solución y medir los parámetros pedidos</w:t>
      </w:r>
    </w:p>
    <w:p w:rsidR="00EE212D" w:rsidRPr="00EE212D" w:rsidRDefault="00EE212D" w:rsidP="00EE21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las curvas que relacionan la concentración molar de sacarosa con sus grados </w:t>
      </w:r>
      <w:proofErr w:type="spellStart"/>
      <w:r>
        <w:rPr>
          <w:rFonts w:ascii="Arial" w:hAnsi="Arial" w:cs="Arial"/>
          <w:sz w:val="20"/>
          <w:szCs w:val="20"/>
        </w:rPr>
        <w:t>Brix</w:t>
      </w:r>
      <w:proofErr w:type="spellEnd"/>
      <w:r>
        <w:rPr>
          <w:rFonts w:ascii="Arial" w:hAnsi="Arial" w:cs="Arial"/>
          <w:sz w:val="20"/>
          <w:szCs w:val="20"/>
        </w:rPr>
        <w:t>, Índice de Refracción y Punto de ebullición</w:t>
      </w: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Química General.</w:t>
      </w:r>
    </w:p>
    <w:p w:rsidR="00202FF7" w:rsidRPr="00596A63" w:rsidRDefault="00202FF7" w:rsidP="00202FF7">
      <w:pPr>
        <w:rPr>
          <w:rFonts w:ascii="Arial" w:hAnsi="Arial" w:cs="Arial"/>
          <w:sz w:val="20"/>
          <w:szCs w:val="20"/>
        </w:rPr>
      </w:pPr>
    </w:p>
    <w:p w:rsidR="00202FF7" w:rsidRPr="00202FF7" w:rsidRDefault="00EE212D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Fórmulas y datos</w:t>
      </w:r>
      <w:r w:rsidR="00202FF7" w:rsidRPr="00202FF7">
        <w:rPr>
          <w:rFonts w:ascii="Arial" w:hAnsi="Arial" w:cs="Arial"/>
          <w:b/>
          <w:sz w:val="20"/>
          <w:szCs w:val="20"/>
        </w:rPr>
        <w:t>:</w:t>
      </w:r>
    </w:p>
    <w:p w:rsidR="00202FF7" w:rsidRPr="00596A63" w:rsidRDefault="00202FF7" w:rsidP="00202FF7">
      <w:pPr>
        <w:pStyle w:val="Prrafodelista"/>
        <w:rPr>
          <w:rFonts w:ascii="Arial" w:hAnsi="Arial" w:cs="Arial"/>
          <w:sz w:val="20"/>
          <w:szCs w:val="20"/>
        </w:rPr>
      </w:pPr>
    </w:p>
    <w:p w:rsidR="00202FF7" w:rsidRPr="00EE212D" w:rsidRDefault="00EE212D" w:rsidP="00202FF7">
      <w:pPr>
        <w:pStyle w:val="Prrafodelista"/>
        <w:numPr>
          <w:ilvl w:val="0"/>
          <w:numId w:val="2"/>
        </w:numPr>
        <w:spacing w:line="360" w:lineRule="auto"/>
        <w:rPr>
          <w:rFonts w:ascii="Symbol" w:hAnsi="Symbo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Densidad = masa / volumen</w:t>
      </w:r>
    </w:p>
    <w:p w:rsidR="00EE212D" w:rsidRPr="00EE212D" w:rsidRDefault="00EE212D" w:rsidP="00202FF7">
      <w:pPr>
        <w:pStyle w:val="Prrafodelista"/>
        <w:numPr>
          <w:ilvl w:val="0"/>
          <w:numId w:val="2"/>
        </w:numPr>
        <w:spacing w:line="360" w:lineRule="auto"/>
        <w:rPr>
          <w:rFonts w:ascii="Symbol" w:hAnsi="Symbo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Masa molar de la sacarosa= 342 g/mol</w:t>
      </w:r>
    </w:p>
    <w:p w:rsidR="00EE212D" w:rsidRDefault="00EE212D" w:rsidP="00202FF7">
      <w:pPr>
        <w:rPr>
          <w:rFonts w:ascii="Arial" w:hAnsi="Arial" w:cs="Arial"/>
          <w:b/>
          <w:sz w:val="20"/>
          <w:szCs w:val="20"/>
        </w:rPr>
      </w:pPr>
    </w:p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Resultados:</w:t>
      </w:r>
    </w:p>
    <w:p w:rsidR="00EE212D" w:rsidRDefault="00EE212D" w:rsidP="00202FF7">
      <w:pPr>
        <w:rPr>
          <w:rFonts w:ascii="Arial" w:hAnsi="Arial" w:cs="Arial"/>
          <w:sz w:val="20"/>
          <w:szCs w:val="20"/>
        </w:rPr>
      </w:pPr>
      <w:r w:rsidRPr="00EE212D">
        <w:rPr>
          <w:rFonts w:ascii="Arial" w:hAnsi="Arial" w:cs="Arial"/>
          <w:sz w:val="20"/>
          <w:szCs w:val="20"/>
        </w:rPr>
        <w:t>Solución/es que su grupo preparó: ________________</w:t>
      </w:r>
    </w:p>
    <w:p w:rsidR="00EE212D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Gramos de Sacarosa a pesar para preparar la solución de 250 ml = _________________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Densidad medida con densímetro: 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Densidad medida con picnómetro: 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Grados </w:t>
      </w:r>
      <w:proofErr w:type="spellStart"/>
      <w:r>
        <w:rPr>
          <w:rFonts w:ascii="Arial" w:hAnsi="Arial" w:cs="Arial"/>
          <w:sz w:val="20"/>
          <w:szCs w:val="20"/>
        </w:rPr>
        <w:t>Brix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Índice de refracción: </w:t>
      </w:r>
      <w:r>
        <w:rPr>
          <w:rFonts w:ascii="Arial" w:hAnsi="Arial" w:cs="Arial"/>
          <w:sz w:val="20"/>
          <w:szCs w:val="20"/>
        </w:rPr>
        <w:t>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Punto de ebullición (medido con </w:t>
      </w:r>
      <w:proofErr w:type="spellStart"/>
      <w:r>
        <w:rPr>
          <w:rFonts w:ascii="Arial" w:hAnsi="Arial" w:cs="Arial"/>
          <w:sz w:val="20"/>
          <w:szCs w:val="20"/>
        </w:rPr>
        <w:t>termocupla</w:t>
      </w:r>
      <w:proofErr w:type="spellEnd"/>
      <w:r>
        <w:rPr>
          <w:rFonts w:ascii="Arial" w:hAnsi="Arial" w:cs="Arial"/>
          <w:sz w:val="20"/>
          <w:szCs w:val="20"/>
        </w:rPr>
        <w:t>): ________________</w:t>
      </w:r>
    </w:p>
    <w:p w:rsidR="00643D39" w:rsidRDefault="00643D39" w:rsidP="00202FF7">
      <w:pPr>
        <w:rPr>
          <w:rFonts w:ascii="Arial" w:hAnsi="Arial" w:cs="Arial"/>
          <w:sz w:val="20"/>
          <w:szCs w:val="20"/>
        </w:rPr>
      </w:pPr>
    </w:p>
    <w:p w:rsidR="005140C3" w:rsidRDefault="005140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643D39" w:rsidRPr="00643D39" w:rsidRDefault="00643D39" w:rsidP="00202FF7">
      <w:pPr>
        <w:rPr>
          <w:rFonts w:ascii="Arial" w:hAnsi="Arial" w:cs="Arial"/>
          <w:b/>
          <w:sz w:val="20"/>
          <w:szCs w:val="20"/>
        </w:rPr>
      </w:pPr>
      <w:r w:rsidRPr="00643D39">
        <w:rPr>
          <w:rFonts w:ascii="Arial" w:hAnsi="Arial" w:cs="Arial"/>
          <w:b/>
          <w:sz w:val="20"/>
          <w:szCs w:val="20"/>
        </w:rPr>
        <w:lastRenderedPageBreak/>
        <w:t>Completar la tabla con los resultados grupales:</w:t>
      </w:r>
    </w:p>
    <w:p w:rsidR="00202FF7" w:rsidRPr="00596A63" w:rsidRDefault="00202FF7" w:rsidP="00202FF7">
      <w:pPr>
        <w:rPr>
          <w:rFonts w:ascii="Arial" w:hAnsi="Arial" w:cs="Arial"/>
          <w:sz w:val="20"/>
          <w:szCs w:val="20"/>
        </w:rPr>
      </w:pPr>
    </w:p>
    <w:tbl>
      <w:tblPr>
        <w:tblW w:w="6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186"/>
        <w:gridCol w:w="1978"/>
        <w:gridCol w:w="1978"/>
      </w:tblGrid>
      <w:tr w:rsidR="00643D39" w:rsidRPr="009854BB" w:rsidTr="00643D39">
        <w:trPr>
          <w:trHeight w:val="578"/>
        </w:trPr>
        <w:tc>
          <w:tcPr>
            <w:tcW w:w="1617" w:type="dxa"/>
            <w:shd w:val="clear" w:color="auto" w:fill="auto"/>
            <w:vAlign w:val="center"/>
          </w:tcPr>
          <w:p w:rsidR="00643D39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Concentración</w:t>
            </w:r>
          </w:p>
          <w:p w:rsidR="00643D39" w:rsidRPr="009854BB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643D39" w:rsidRPr="009854BB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°Brix</w:t>
            </w:r>
            <w:proofErr w:type="spellEnd"/>
          </w:p>
        </w:tc>
        <w:tc>
          <w:tcPr>
            <w:tcW w:w="1978" w:type="dxa"/>
          </w:tcPr>
          <w:p w:rsidR="00643D39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Índice de</w:t>
            </w:r>
          </w:p>
          <w:p w:rsidR="00643D39" w:rsidRPr="009854BB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Refracción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643D39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Punto de</w:t>
            </w:r>
          </w:p>
          <w:p w:rsidR="00643D39" w:rsidRPr="009854BB" w:rsidRDefault="00643D39" w:rsidP="001909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Ebullición (°C)</w:t>
            </w: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1909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62"/>
        </w:trPr>
        <w:tc>
          <w:tcPr>
            <w:tcW w:w="1617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202F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  <w:vAlign w:val="center"/>
          </w:tcPr>
          <w:p w:rsidR="00643D39" w:rsidRPr="009854BB" w:rsidRDefault="00643D39" w:rsidP="00202F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270"/>
        </w:trPr>
        <w:tc>
          <w:tcPr>
            <w:tcW w:w="1617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3D39" w:rsidRPr="009854BB" w:rsidTr="00643D39">
        <w:trPr>
          <w:trHeight w:val="45"/>
        </w:trPr>
        <w:tc>
          <w:tcPr>
            <w:tcW w:w="1617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shd w:val="clear" w:color="auto" w:fill="auto"/>
          </w:tcPr>
          <w:p w:rsidR="00643D39" w:rsidRPr="009854BB" w:rsidRDefault="00643D39" w:rsidP="00202F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</w:p>
    <w:p w:rsidR="005140C3" w:rsidRDefault="005140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202FF7" w:rsidRDefault="005140C3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Correlación entre Concentración (M) y </w:t>
      </w:r>
      <w:proofErr w:type="spellStart"/>
      <w:r>
        <w:rPr>
          <w:rFonts w:ascii="Arial" w:hAnsi="Arial" w:cs="Arial"/>
          <w:b/>
          <w:sz w:val="20"/>
          <w:szCs w:val="20"/>
        </w:rPr>
        <w:t>°Brix</w:t>
      </w:r>
      <w:proofErr w:type="spellEnd"/>
      <w:r w:rsidR="00202FF7">
        <w:rPr>
          <w:rFonts w:ascii="Arial" w:hAnsi="Arial" w:cs="Arial"/>
          <w:b/>
          <w:sz w:val="20"/>
          <w:szCs w:val="20"/>
        </w:rPr>
        <w:t xml:space="preserve"> </w:t>
      </w:r>
      <w:r w:rsidR="00202FF7" w:rsidRPr="00202FF7">
        <w:rPr>
          <w:rFonts w:ascii="Arial" w:hAnsi="Arial" w:cs="Arial"/>
          <w:sz w:val="20"/>
          <w:szCs w:val="20"/>
        </w:rPr>
        <w:t>(completar)</w:t>
      </w:r>
      <w:r w:rsidR="00202FF7">
        <w:rPr>
          <w:rFonts w:ascii="Arial" w:hAnsi="Arial" w:cs="Arial"/>
          <w:b/>
          <w:sz w:val="20"/>
          <w:szCs w:val="20"/>
        </w:rPr>
        <w:t>:</w:t>
      </w:r>
    </w:p>
    <w:p w:rsidR="00202FF7" w:rsidRDefault="005140C3" w:rsidP="00202FF7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1A1A591F" wp14:editId="5E7D6B3A">
            <wp:extent cx="6062134" cy="3637280"/>
            <wp:effectExtent l="0" t="0" r="1524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Correlación entre Concentración (M) </w:t>
      </w:r>
      <w:r>
        <w:rPr>
          <w:rFonts w:ascii="Arial" w:hAnsi="Arial" w:cs="Arial"/>
          <w:b/>
          <w:sz w:val="20"/>
          <w:szCs w:val="20"/>
        </w:rPr>
        <w:t>e I.R.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02FF7">
        <w:rPr>
          <w:rFonts w:ascii="Arial" w:hAnsi="Arial" w:cs="Arial"/>
          <w:sz w:val="20"/>
          <w:szCs w:val="20"/>
        </w:rPr>
        <w:t>(completar)</w:t>
      </w:r>
      <w:r>
        <w:rPr>
          <w:rFonts w:ascii="Arial" w:hAnsi="Arial" w:cs="Arial"/>
          <w:b/>
          <w:sz w:val="20"/>
          <w:szCs w:val="20"/>
        </w:rPr>
        <w:t>:</w:t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3473809" wp14:editId="2A873D6A">
            <wp:extent cx="6061710" cy="3637026"/>
            <wp:effectExtent l="0" t="0" r="15240" b="19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Correlación entre Concentración (M) y </w:t>
      </w:r>
      <w:r>
        <w:rPr>
          <w:rFonts w:ascii="Arial" w:hAnsi="Arial" w:cs="Arial"/>
          <w:b/>
          <w:sz w:val="20"/>
          <w:szCs w:val="20"/>
        </w:rPr>
        <w:t>Punto de ebullición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02FF7">
        <w:rPr>
          <w:rFonts w:ascii="Arial" w:hAnsi="Arial" w:cs="Arial"/>
          <w:sz w:val="20"/>
          <w:szCs w:val="20"/>
        </w:rPr>
        <w:t>(completar)</w:t>
      </w:r>
      <w:r>
        <w:rPr>
          <w:rFonts w:ascii="Arial" w:hAnsi="Arial" w:cs="Arial"/>
          <w:b/>
          <w:sz w:val="20"/>
          <w:szCs w:val="20"/>
        </w:rPr>
        <w:t>:</w:t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84E1CC8" wp14:editId="4C7D75E8">
            <wp:extent cx="5842000" cy="3505200"/>
            <wp:effectExtent l="0" t="0" r="63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3D39" w:rsidRDefault="00643D39" w:rsidP="00202FF7">
      <w:pPr>
        <w:rPr>
          <w:noProof/>
          <w:lang w:eastAsia="es-AR"/>
        </w:rPr>
      </w:pPr>
    </w:p>
    <w:p w:rsidR="00643D39" w:rsidRDefault="00643D39" w:rsidP="00202FF7">
      <w:pPr>
        <w:rPr>
          <w:rFonts w:ascii="Arial" w:hAnsi="Arial" w:cs="Arial"/>
          <w:b/>
          <w:sz w:val="20"/>
          <w:szCs w:val="20"/>
        </w:rPr>
      </w:pPr>
    </w:p>
    <w:p w:rsidR="00202FF7" w:rsidRPr="005140C3" w:rsidRDefault="00E97109" w:rsidP="00202FF7">
      <w:pPr>
        <w:rPr>
          <w:rFonts w:ascii="Arial" w:hAnsi="Arial" w:cs="Arial"/>
          <w:b/>
          <w:sz w:val="20"/>
          <w:szCs w:val="20"/>
          <w:u w:val="single"/>
        </w:rPr>
      </w:pPr>
      <w:r w:rsidRPr="005140C3">
        <w:rPr>
          <w:rFonts w:ascii="Arial" w:hAnsi="Arial" w:cs="Arial"/>
          <w:b/>
          <w:sz w:val="20"/>
          <w:szCs w:val="20"/>
          <w:u w:val="single"/>
        </w:rPr>
        <w:t>Conclusiones</w:t>
      </w:r>
      <w:r w:rsidR="00202FF7" w:rsidRPr="005140C3">
        <w:rPr>
          <w:rFonts w:ascii="Arial" w:hAnsi="Arial" w:cs="Arial"/>
          <w:b/>
          <w:sz w:val="20"/>
          <w:szCs w:val="20"/>
          <w:u w:val="single"/>
        </w:rPr>
        <w:t>:</w:t>
      </w:r>
    </w:p>
    <w:p w:rsidR="00E97109" w:rsidRDefault="005140C3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Concentración Molar vs </w:t>
      </w:r>
      <w:proofErr w:type="spellStart"/>
      <w:r>
        <w:rPr>
          <w:rFonts w:ascii="Arial" w:hAnsi="Arial" w:cs="Arial"/>
          <w:b/>
          <w:sz w:val="20"/>
          <w:szCs w:val="20"/>
        </w:rPr>
        <w:t>°Brix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E97109" w:rsidRDefault="00E97109" w:rsidP="005140C3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0C3" w:rsidRDefault="005140C3" w:rsidP="005140C3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Concentraci</w:t>
      </w:r>
      <w:r>
        <w:rPr>
          <w:rFonts w:ascii="Arial" w:hAnsi="Arial" w:cs="Arial"/>
          <w:b/>
          <w:sz w:val="20"/>
          <w:szCs w:val="20"/>
        </w:rPr>
        <w:t>ón Molar vs Índice de Refracción:</w:t>
      </w:r>
    </w:p>
    <w:p w:rsidR="00202FF7" w:rsidRDefault="005140C3" w:rsidP="005140C3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0C3" w:rsidRDefault="005140C3" w:rsidP="005140C3">
      <w:pPr>
        <w:spacing w:line="480" w:lineRule="auto"/>
        <w:rPr>
          <w:rFonts w:ascii="Arial" w:hAnsi="Arial" w:cs="Arial"/>
          <w:b/>
          <w:sz w:val="20"/>
          <w:szCs w:val="20"/>
        </w:rPr>
      </w:pPr>
    </w:p>
    <w:p w:rsidR="005140C3" w:rsidRDefault="005140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5140C3" w:rsidRDefault="005140C3" w:rsidP="005140C3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Concentraci</w:t>
      </w:r>
      <w:r>
        <w:rPr>
          <w:rFonts w:ascii="Arial" w:hAnsi="Arial" w:cs="Arial"/>
          <w:b/>
          <w:sz w:val="20"/>
          <w:szCs w:val="20"/>
        </w:rPr>
        <w:t>ón Molar vs Punto de Ebullición</w:t>
      </w:r>
    </w:p>
    <w:p w:rsidR="00202FF7" w:rsidRDefault="005140C3" w:rsidP="005140C3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</w:p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</w:p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Bibliografía:</w:t>
      </w:r>
      <w:r w:rsidRPr="00596A63">
        <w:rPr>
          <w:rFonts w:ascii="Arial" w:hAnsi="Arial" w:cs="Arial"/>
          <w:sz w:val="20"/>
          <w:szCs w:val="20"/>
        </w:rPr>
        <w:t xml:space="preserve"> Guía de Trabajos Prácticos de Química General</w:t>
      </w:r>
      <w:r>
        <w:rPr>
          <w:rFonts w:ascii="Arial" w:hAnsi="Arial" w:cs="Arial"/>
          <w:sz w:val="20"/>
          <w:szCs w:val="20"/>
        </w:rPr>
        <w:t>.</w:t>
      </w:r>
    </w:p>
    <w:p w:rsidR="0045618D" w:rsidRDefault="0045618D" w:rsidP="0045618D"/>
    <w:sectPr w:rsidR="0045618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CF" w:rsidRDefault="00561ACF" w:rsidP="00E97109">
      <w:pPr>
        <w:spacing w:after="0" w:line="240" w:lineRule="auto"/>
      </w:pPr>
      <w:r>
        <w:separator/>
      </w:r>
    </w:p>
  </w:endnote>
  <w:endnote w:type="continuationSeparator" w:id="0">
    <w:p w:rsidR="00561ACF" w:rsidRDefault="00561ACF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81319"/>
      <w:docPartObj>
        <w:docPartGallery w:val="Page Numbers (Bottom of Page)"/>
        <w:docPartUnique/>
      </w:docPartObj>
    </w:sdtPr>
    <w:sdtEndPr/>
    <w:sdtContent>
      <w:p w:rsidR="00E97109" w:rsidRDefault="00E97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0C3" w:rsidRPr="005140C3">
          <w:rPr>
            <w:noProof/>
            <w:lang w:val="es-ES"/>
          </w:rPr>
          <w:t>4</w:t>
        </w:r>
        <w:r>
          <w:fldChar w:fldCharType="end"/>
        </w:r>
      </w:p>
    </w:sdtContent>
  </w:sdt>
  <w:p w:rsidR="00E97109" w:rsidRDefault="00E97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CF" w:rsidRDefault="00561ACF" w:rsidP="00E97109">
      <w:pPr>
        <w:spacing w:after="0" w:line="240" w:lineRule="auto"/>
      </w:pPr>
      <w:r>
        <w:separator/>
      </w:r>
    </w:p>
  </w:footnote>
  <w:footnote w:type="continuationSeparator" w:id="0">
    <w:p w:rsidR="00561ACF" w:rsidRDefault="00561ACF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85CB9"/>
    <w:multiLevelType w:val="hybridMultilevel"/>
    <w:tmpl w:val="5CB6330A"/>
    <w:lvl w:ilvl="0" w:tplc="80B40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8D"/>
    <w:rsid w:val="00202FF7"/>
    <w:rsid w:val="0045618D"/>
    <w:rsid w:val="005140C3"/>
    <w:rsid w:val="00561ACF"/>
    <w:rsid w:val="005C6DD4"/>
    <w:rsid w:val="00643D39"/>
    <w:rsid w:val="00E97109"/>
    <w:rsid w:val="00EE212D"/>
    <w:rsid w:val="00F761D8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C4411-C5B7-4FCD-BC7B-C6F5C1C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°Brix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Hoja1!$C$4:$C$13</c:f>
              <c:numCache>
                <c:formatCode>General</c:formatCode>
                <c:ptCount val="10"/>
                <c:pt idx="0">
                  <c:v>3.25</c:v>
                </c:pt>
                <c:pt idx="1">
                  <c:v>6.1</c:v>
                </c:pt>
                <c:pt idx="2">
                  <c:v>9.1999999999999993</c:v>
                </c:pt>
                <c:pt idx="3">
                  <c:v>13</c:v>
                </c:pt>
                <c:pt idx="4">
                  <c:v>16.5</c:v>
                </c:pt>
                <c:pt idx="5">
                  <c:v>18</c:v>
                </c:pt>
                <c:pt idx="6">
                  <c:v>22.2</c:v>
                </c:pt>
                <c:pt idx="7">
                  <c:v>24.99</c:v>
                </c:pt>
                <c:pt idx="8">
                  <c:v>27.75</c:v>
                </c:pt>
                <c:pt idx="9">
                  <c:v>30.1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928216"/>
        <c:axId val="46092547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Hoja1!$D$3</c15:sqref>
                        </c15:formulaRef>
                      </c:ext>
                    </c:extLst>
                    <c:strCache>
                      <c:ptCount val="1"/>
                      <c:pt idx="0">
                        <c:v>índice de refracción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Hoja1!$D$4:$D$13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1.337</c:v>
                      </c:pt>
                      <c:pt idx="1">
                        <c:v>1.343</c:v>
                      </c:pt>
                      <c:pt idx="2">
                        <c:v>1.347</c:v>
                      </c:pt>
                      <c:pt idx="3">
                        <c:v>1.355</c:v>
                      </c:pt>
                      <c:pt idx="4">
                        <c:v>1.357</c:v>
                      </c:pt>
                      <c:pt idx="5">
                        <c:v>1.361</c:v>
                      </c:pt>
                      <c:pt idx="6">
                        <c:v>1.367</c:v>
                      </c:pt>
                      <c:pt idx="7">
                        <c:v>1.373</c:v>
                      </c:pt>
                      <c:pt idx="8">
                        <c:v>1.377</c:v>
                      </c:pt>
                      <c:pt idx="9">
                        <c:v>1.381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Hoja1!$E$3</c15:sqref>
                        </c15:formulaRef>
                      </c:ext>
                    </c:extLst>
                    <c:strCache>
                      <c:ptCount val="1"/>
                      <c:pt idx="0">
                        <c:v>el punto de ebullición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Hoja1!$E$4:$E$13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100.2</c:v>
                      </c:pt>
                      <c:pt idx="1">
                        <c:v>100.4</c:v>
                      </c:pt>
                      <c:pt idx="2">
                        <c:v>101.7</c:v>
                      </c:pt>
                      <c:pt idx="3">
                        <c:v>100.2</c:v>
                      </c:pt>
                      <c:pt idx="4">
                        <c:v>100.3</c:v>
                      </c:pt>
                      <c:pt idx="5">
                        <c:v>100.6</c:v>
                      </c:pt>
                      <c:pt idx="6">
                        <c:v>100.9</c:v>
                      </c:pt>
                      <c:pt idx="7">
                        <c:v>101.4</c:v>
                      </c:pt>
                      <c:pt idx="8">
                        <c:v>101.8</c:v>
                      </c:pt>
                      <c:pt idx="9">
                        <c:v>102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60928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Concentración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0925472"/>
        <c:crosses val="autoZero"/>
        <c:crossBetween val="midCat"/>
      </c:valAx>
      <c:valAx>
        <c:axId val="46092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°Brix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0928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Índice de Refracción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Hoja1!$D$3</c:f>
              <c:strCache>
                <c:ptCount val="1"/>
                <c:pt idx="0">
                  <c:v>índice de refracción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Hoja1!$D$4:$D$13</c:f>
              <c:numCache>
                <c:formatCode>General</c:formatCode>
                <c:ptCount val="10"/>
                <c:pt idx="0">
                  <c:v>1.337</c:v>
                </c:pt>
                <c:pt idx="1">
                  <c:v>1.343</c:v>
                </c:pt>
                <c:pt idx="2">
                  <c:v>1.347</c:v>
                </c:pt>
                <c:pt idx="3">
                  <c:v>1.355</c:v>
                </c:pt>
                <c:pt idx="4">
                  <c:v>1.357</c:v>
                </c:pt>
                <c:pt idx="5">
                  <c:v>1.361</c:v>
                </c:pt>
                <c:pt idx="6">
                  <c:v>1.367</c:v>
                </c:pt>
                <c:pt idx="7">
                  <c:v>1.373</c:v>
                </c:pt>
                <c:pt idx="8">
                  <c:v>1.377</c:v>
                </c:pt>
                <c:pt idx="9">
                  <c:v>1.381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926648"/>
        <c:axId val="4609258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Hoja1!$C$3</c15:sqref>
                        </c15:formulaRef>
                      </c:ext>
                    </c:extLst>
                    <c:strCache>
                      <c:ptCount val="1"/>
                      <c:pt idx="0">
                        <c:v>°Brix</c:v>
                      </c:pt>
                    </c:strCache>
                  </c:strRef>
                </c:tx>
                <c:spPr>
                  <a:ln w="19050" cap="rnd">
                    <a:solidFill>
                      <a:schemeClr val="bg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Hoja1!$C$4:$C$13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3.25</c:v>
                      </c:pt>
                      <c:pt idx="1">
                        <c:v>6.1</c:v>
                      </c:pt>
                      <c:pt idx="2">
                        <c:v>9.1999999999999993</c:v>
                      </c:pt>
                      <c:pt idx="3">
                        <c:v>13</c:v>
                      </c:pt>
                      <c:pt idx="4">
                        <c:v>16.5</c:v>
                      </c:pt>
                      <c:pt idx="5">
                        <c:v>18</c:v>
                      </c:pt>
                      <c:pt idx="6">
                        <c:v>22.2</c:v>
                      </c:pt>
                      <c:pt idx="7">
                        <c:v>24.99</c:v>
                      </c:pt>
                      <c:pt idx="8">
                        <c:v>27.75</c:v>
                      </c:pt>
                      <c:pt idx="9">
                        <c:v>30.1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Hoja1!$E$3</c15:sqref>
                        </c15:formulaRef>
                      </c:ext>
                    </c:extLst>
                    <c:strCache>
                      <c:ptCount val="1"/>
                      <c:pt idx="0">
                        <c:v>el punto de ebullición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Hoja1!$E$4:$E$13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100.2</c:v>
                      </c:pt>
                      <c:pt idx="1">
                        <c:v>100.4</c:v>
                      </c:pt>
                      <c:pt idx="2">
                        <c:v>101.7</c:v>
                      </c:pt>
                      <c:pt idx="3">
                        <c:v>100.2</c:v>
                      </c:pt>
                      <c:pt idx="4">
                        <c:v>100.3</c:v>
                      </c:pt>
                      <c:pt idx="5">
                        <c:v>100.6</c:v>
                      </c:pt>
                      <c:pt idx="6">
                        <c:v>100.9</c:v>
                      </c:pt>
                      <c:pt idx="7">
                        <c:v>101.4</c:v>
                      </c:pt>
                      <c:pt idx="8">
                        <c:v>101.8</c:v>
                      </c:pt>
                      <c:pt idx="9">
                        <c:v>102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60926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Concentración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0925864"/>
        <c:crosses val="autoZero"/>
        <c:crossBetween val="midCat"/>
      </c:valAx>
      <c:valAx>
        <c:axId val="46092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I.R.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0926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Punto</a:t>
            </a:r>
            <a:r>
              <a:rPr lang="en-US" baseline="0"/>
              <a:t> de Ebullición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Hoja1!$E$3</c:f>
              <c:strCache>
                <c:ptCount val="1"/>
                <c:pt idx="0">
                  <c:v>el punto de ebullición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Hoja1!$E$4:$E$13</c:f>
              <c:numCache>
                <c:formatCode>General</c:formatCode>
                <c:ptCount val="10"/>
                <c:pt idx="0">
                  <c:v>100.2</c:v>
                </c:pt>
                <c:pt idx="1">
                  <c:v>100.4</c:v>
                </c:pt>
                <c:pt idx="2">
                  <c:v>101.7</c:v>
                </c:pt>
                <c:pt idx="3">
                  <c:v>100.2</c:v>
                </c:pt>
                <c:pt idx="4">
                  <c:v>100.3</c:v>
                </c:pt>
                <c:pt idx="5">
                  <c:v>100.6</c:v>
                </c:pt>
                <c:pt idx="6">
                  <c:v>100.9</c:v>
                </c:pt>
                <c:pt idx="7">
                  <c:v>101.4</c:v>
                </c:pt>
                <c:pt idx="8">
                  <c:v>101.8</c:v>
                </c:pt>
                <c:pt idx="9">
                  <c:v>102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9808"/>
        <c:axId val="46403863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Hoja1!$C$3</c15:sqref>
                        </c15:formulaRef>
                      </c:ext>
                    </c:extLst>
                    <c:strCache>
                      <c:ptCount val="1"/>
                      <c:pt idx="0">
                        <c:v>°Brix</c:v>
                      </c:pt>
                    </c:strCache>
                  </c:strRef>
                </c:tx>
                <c:spPr>
                  <a:ln w="19050" cap="rnd">
                    <a:solidFill>
                      <a:schemeClr val="bg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Hoja1!$C$4:$C$13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3.25</c:v>
                      </c:pt>
                      <c:pt idx="1">
                        <c:v>6.1</c:v>
                      </c:pt>
                      <c:pt idx="2">
                        <c:v>9.1999999999999993</c:v>
                      </c:pt>
                      <c:pt idx="3">
                        <c:v>13</c:v>
                      </c:pt>
                      <c:pt idx="4">
                        <c:v>16.5</c:v>
                      </c:pt>
                      <c:pt idx="5">
                        <c:v>18</c:v>
                      </c:pt>
                      <c:pt idx="6">
                        <c:v>22.2</c:v>
                      </c:pt>
                      <c:pt idx="7">
                        <c:v>24.99</c:v>
                      </c:pt>
                      <c:pt idx="8">
                        <c:v>27.75</c:v>
                      </c:pt>
                      <c:pt idx="9">
                        <c:v>30.1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Hoja1!$D$3</c15:sqref>
                        </c15:formulaRef>
                      </c:ext>
                    </c:extLst>
                    <c:strCache>
                      <c:ptCount val="1"/>
                      <c:pt idx="0">
                        <c:v>índice de refracción</c:v>
                      </c:pt>
                    </c:strCache>
                  </c:strRef>
                </c:tx>
                <c:spPr>
                  <a:ln w="19050" cap="rnd">
                    <a:solidFill>
                      <a:schemeClr val="bg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Hoja1!$B$4:$B$13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  <c:pt idx="5">
                        <c:v>0.6</c:v>
                      </c:pt>
                      <c:pt idx="6">
                        <c:v>0.7</c:v>
                      </c:pt>
                      <c:pt idx="7">
                        <c:v>0.8</c:v>
                      </c:pt>
                      <c:pt idx="8">
                        <c:v>0.9</c:v>
                      </c:pt>
                      <c:pt idx="9">
                        <c:v>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Hoja1!$D$4:$D$13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1.337</c:v>
                      </c:pt>
                      <c:pt idx="1">
                        <c:v>1.343</c:v>
                      </c:pt>
                      <c:pt idx="2">
                        <c:v>1.347</c:v>
                      </c:pt>
                      <c:pt idx="3">
                        <c:v>1.355</c:v>
                      </c:pt>
                      <c:pt idx="4">
                        <c:v>1.357</c:v>
                      </c:pt>
                      <c:pt idx="5">
                        <c:v>1.361</c:v>
                      </c:pt>
                      <c:pt idx="6">
                        <c:v>1.367</c:v>
                      </c:pt>
                      <c:pt idx="7">
                        <c:v>1.373</c:v>
                      </c:pt>
                      <c:pt idx="8">
                        <c:v>1.377</c:v>
                      </c:pt>
                      <c:pt idx="9">
                        <c:v>1.381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6403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Concentración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4038632"/>
        <c:crosses val="autoZero"/>
        <c:crossBetween val="midCat"/>
      </c:valAx>
      <c:valAx>
        <c:axId val="4640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Temperatura de ebullición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403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8" ma:contentTypeDescription="Crear nuevo documento." ma:contentTypeScope="" ma:versionID="7bb2bf685d9758cde5ddc84904fbd311">
  <xsd:schema xmlns:xsd="http://www.w3.org/2001/XMLSchema" xmlns:xs="http://www.w3.org/2001/XMLSchema" xmlns:p="http://schemas.microsoft.com/office/2006/metadata/properties" xmlns:ns2="69c252e1-fd82-4875-9199-f0520f058ece" targetNamespace="http://schemas.microsoft.com/office/2006/metadata/properties" ma:root="true" ma:fieldsID="369e1dc392ddde93015e012ca52e7004" ns2:_="">
    <xsd:import namespace="69c252e1-fd82-4875-9199-f0520f05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95CDB-B239-4670-9607-787C6736DCFD}"/>
</file>

<file path=customXml/itemProps2.xml><?xml version="1.0" encoding="utf-8"?>
<ds:datastoreItem xmlns:ds="http://schemas.openxmlformats.org/officeDocument/2006/customXml" ds:itemID="{7B369B6B-F215-461E-A62A-BC0BF66CBA28}"/>
</file>

<file path=customXml/itemProps3.xml><?xml version="1.0" encoding="utf-8"?>
<ds:datastoreItem xmlns:ds="http://schemas.openxmlformats.org/officeDocument/2006/customXml" ds:itemID="{9C2CF1C9-FFC3-4F19-9B05-77CCFB5548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Cardozo</dc:creator>
  <cp:keywords/>
  <dc:description/>
  <cp:lastModifiedBy>Julián Cardozo</cp:lastModifiedBy>
  <cp:revision>3</cp:revision>
  <dcterms:created xsi:type="dcterms:W3CDTF">2015-12-10T19:49:00Z</dcterms:created>
  <dcterms:modified xsi:type="dcterms:W3CDTF">2015-12-10T20:21:00Z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0x01010082871AF351276745A9193B1D8A353AC4</vt:lpwstr>
  </property>
</Properties>
</file>