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91" w:rsidRDefault="003936C6">
      <w:pPr>
        <w:pStyle w:val="normal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ROTEIRO DE APRESENTAÇÃO: PESQUISA DE PERIÓDICOS</w:t>
      </w:r>
    </w:p>
    <w:p w:rsidR="00594091" w:rsidRDefault="003936C6">
      <w:pPr>
        <w:pStyle w:val="normal0"/>
        <w:jc w:val="center"/>
        <w:rPr>
          <w:rFonts w:ascii="Calibri" w:eastAsia="Calibri" w:hAnsi="Calibri" w:cs="Calibri"/>
          <w:b/>
          <w:sz w:val="34"/>
          <w:szCs w:val="3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sz w:val="34"/>
          <w:szCs w:val="34"/>
        </w:rPr>
        <w:t xml:space="preserve">ATIVIDADE DE NIVELAMENTO 1 - Grupo </w:t>
      </w:r>
      <w:proofErr w:type="gramStart"/>
      <w:r>
        <w:rPr>
          <w:rFonts w:ascii="Calibri" w:eastAsia="Calibri" w:hAnsi="Calibri" w:cs="Calibri"/>
          <w:b/>
          <w:sz w:val="34"/>
          <w:szCs w:val="34"/>
        </w:rPr>
        <w:t>5</w:t>
      </w:r>
      <w:proofErr w:type="gramEnd"/>
      <w:r>
        <w:rPr>
          <w:rFonts w:ascii="Calibri" w:eastAsia="Calibri" w:hAnsi="Calibri" w:cs="Calibri"/>
          <w:b/>
          <w:sz w:val="34"/>
          <w:szCs w:val="34"/>
        </w:rPr>
        <w:t xml:space="preserve"> </w:t>
      </w:r>
    </w:p>
    <w:p w:rsidR="00594091" w:rsidRDefault="003936C6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Disciplina:</w:t>
      </w:r>
      <w:r>
        <w:rPr>
          <w:rFonts w:ascii="Calibri" w:eastAsia="Calibri" w:hAnsi="Calibri" w:cs="Calibri"/>
          <w:sz w:val="24"/>
          <w:szCs w:val="24"/>
        </w:rPr>
        <w:t xml:space="preserve"> Métodos </w:t>
      </w:r>
      <w:proofErr w:type="spellStart"/>
      <w:r>
        <w:rPr>
          <w:rFonts w:ascii="Calibri" w:eastAsia="Calibri" w:hAnsi="Calibri" w:cs="Calibri"/>
          <w:sz w:val="24"/>
          <w:szCs w:val="24"/>
        </w:rPr>
        <w:t>Econométricos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Prof. Aureliano Angel </w:t>
      </w:r>
      <w:proofErr w:type="spellStart"/>
      <w:r>
        <w:rPr>
          <w:rFonts w:ascii="Calibri" w:eastAsia="Calibri" w:hAnsi="Calibri" w:cs="Calibri"/>
          <w:sz w:val="24"/>
          <w:szCs w:val="24"/>
        </w:rPr>
        <w:t>Bressan</w:t>
      </w:r>
      <w:proofErr w:type="spellEnd"/>
    </w:p>
    <w:p w:rsidR="00594091" w:rsidRDefault="00594091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594091" w:rsidRDefault="003936C6">
      <w:pPr>
        <w:pStyle w:val="normal0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28"/>
          <w:szCs w:val="28"/>
        </w:rPr>
        <w:t>Alunos</w:t>
      </w:r>
      <w:r>
        <w:rPr>
          <w:rFonts w:ascii="Calibri" w:eastAsia="Calibri" w:hAnsi="Calibri" w:cs="Calibri"/>
          <w:b/>
          <w:sz w:val="30"/>
          <w:szCs w:val="30"/>
        </w:rPr>
        <w:t>:</w:t>
      </w:r>
    </w:p>
    <w:p w:rsidR="00594091" w:rsidRDefault="003936C6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Bruno Marcelino</w:t>
      </w:r>
    </w:p>
    <w:p w:rsidR="00594091" w:rsidRDefault="003936C6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David Aleksander</w:t>
      </w:r>
    </w:p>
    <w:p w:rsidR="00594091" w:rsidRDefault="003936C6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Daniel Rocha </w:t>
      </w:r>
    </w:p>
    <w:p w:rsidR="00594091" w:rsidRDefault="003936C6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Felipe </w:t>
      </w:r>
      <w:proofErr w:type="spellStart"/>
      <w:r>
        <w:rPr>
          <w:rFonts w:ascii="Calibri" w:eastAsia="Calibri" w:hAnsi="Calibri" w:cs="Calibri"/>
        </w:rPr>
        <w:t>Robadel</w:t>
      </w:r>
      <w:proofErr w:type="spellEnd"/>
    </w:p>
    <w:p w:rsidR="00594091" w:rsidRDefault="003936C6">
      <w:pPr>
        <w:pStyle w:val="normal0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Gabriela Lamas</w:t>
      </w:r>
    </w:p>
    <w:p w:rsidR="00594091" w:rsidRDefault="00594091">
      <w:pPr>
        <w:pStyle w:val="normal0"/>
        <w:rPr>
          <w:rFonts w:ascii="Calibri" w:eastAsia="Calibri" w:hAnsi="Calibri" w:cs="Calibri"/>
        </w:rPr>
      </w:pPr>
    </w:p>
    <w:p w:rsidR="00594091" w:rsidRDefault="003936C6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Data</w:t>
      </w:r>
      <w:r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</w:rPr>
        <w:t xml:space="preserve"> 11/12</w:t>
      </w:r>
    </w:p>
    <w:p w:rsidR="00594091" w:rsidRPr="003936C6" w:rsidRDefault="003936C6" w:rsidP="003936C6">
      <w:pPr>
        <w:pStyle w:val="normal0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Considerações Iniciais: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 artigo selecionado pelo grupo é a tese de mestrado em economia pelo </w:t>
      </w:r>
      <w:proofErr w:type="spellStart"/>
      <w:r>
        <w:rPr>
          <w:rFonts w:ascii="Calibri" w:eastAsia="Calibri" w:hAnsi="Calibri" w:cs="Calibri"/>
          <w:sz w:val="24"/>
          <w:szCs w:val="24"/>
        </w:rPr>
        <w:t>Insper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Bruno Ribeiro de Castro orientado pela </w:t>
      </w:r>
      <w:proofErr w:type="spellStart"/>
      <w:r>
        <w:rPr>
          <w:rFonts w:ascii="Calibri" w:eastAsia="Calibri" w:hAnsi="Calibri" w:cs="Calibri"/>
          <w:sz w:val="24"/>
          <w:szCs w:val="24"/>
        </w:rPr>
        <w:t>Profª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Dra. Andrea Maria </w:t>
      </w:r>
      <w:proofErr w:type="spellStart"/>
      <w:r>
        <w:rPr>
          <w:rFonts w:ascii="Calibri" w:eastAsia="Calibri" w:hAnsi="Calibri" w:cs="Calibri"/>
          <w:sz w:val="24"/>
          <w:szCs w:val="24"/>
        </w:rPr>
        <w:t>Accioly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Fonseca </w:t>
      </w:r>
      <w:proofErr w:type="spellStart"/>
      <w:r>
        <w:rPr>
          <w:rFonts w:ascii="Calibri" w:eastAsia="Calibri" w:hAnsi="Calibri" w:cs="Calibri"/>
          <w:sz w:val="24"/>
          <w:szCs w:val="24"/>
        </w:rPr>
        <w:t>Minardi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trata-se de uma investigação acerca da habilidade de gestores profissionais de fundos </w:t>
      </w:r>
      <w:r>
        <w:rPr>
          <w:rFonts w:ascii="Calibri" w:eastAsia="Calibri" w:hAnsi="Calibri" w:cs="Calibri"/>
          <w:sz w:val="24"/>
          <w:szCs w:val="24"/>
        </w:rPr>
        <w:t>ativos de gerarem retorno superior em comparação a fundos passivos e ao equilíbrio de mercado.</w:t>
      </w:r>
    </w:p>
    <w:p w:rsidR="00594091" w:rsidRDefault="003936C6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Link do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Artigo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 w:rsidR="00594091">
        <w:fldChar w:fldCharType="begin"/>
      </w:r>
      <w:r w:rsidR="00594091">
        <w:instrText>HYPERLINK "http://bibliotecadigital.fgv.br/ojs/index.php/rbfin/article/view/1310/918" \h</w:instrText>
      </w:r>
      <w:r w:rsidR="00594091"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 xml:space="preserve"> http://bibliotecadigital.fgv.br/ojs/index.php/rbfin/a</w:t>
      </w:r>
      <w:r>
        <w:rPr>
          <w:rFonts w:ascii="Calibri" w:eastAsia="Calibri" w:hAnsi="Calibri" w:cs="Calibri"/>
          <w:color w:val="1155CC"/>
          <w:u w:val="single"/>
        </w:rPr>
        <w:t>rticle/view/1310/918</w:t>
      </w:r>
      <w:r w:rsidR="00594091">
        <w:fldChar w:fldCharType="end"/>
      </w:r>
    </w:p>
    <w:p w:rsidR="00594091" w:rsidRDefault="003936C6">
      <w:pPr>
        <w:pStyle w:val="normal0"/>
        <w:numPr>
          <w:ilvl w:val="0"/>
          <w:numId w:val="3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Local de Publicação:</w:t>
      </w:r>
      <w:r>
        <w:rPr>
          <w:rFonts w:ascii="Calibri" w:eastAsia="Calibri" w:hAnsi="Calibri" w:cs="Calibri"/>
          <w:sz w:val="24"/>
          <w:szCs w:val="24"/>
        </w:rPr>
        <w:t xml:space="preserve"> Revista Brasileira de Finanças </w:t>
      </w:r>
    </w:p>
    <w:p w:rsidR="00594091" w:rsidRDefault="00594091">
      <w:pPr>
        <w:pStyle w:val="normal0"/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:rsidR="00594091" w:rsidRDefault="003936C6">
      <w:pPr>
        <w:pStyle w:val="normal0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Introdução</w:t>
      </w:r>
    </w:p>
    <w:p w:rsidR="00594091" w:rsidRDefault="003936C6">
      <w:pPr>
        <w:pStyle w:val="normal0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Segundo a Hipótese do Mercado Eficiente, os preços das ações refletem todas as informações publicamente disponíveis. Isso vai de encontro ao papel de um gestor de fundo a</w:t>
      </w:r>
      <w:r>
        <w:rPr>
          <w:rFonts w:ascii="Calibri" w:eastAsia="Calibri" w:hAnsi="Calibri" w:cs="Calibri"/>
          <w:sz w:val="24"/>
          <w:szCs w:val="24"/>
        </w:rPr>
        <w:t>tivo, que busca - por meio da análise fundamentalista - encontrar ativos mal precificados e explorar falhas de mercado. A partir daí, o artigo investiga retornos de fundos ativos e passivos com rentabilidade bruta e líquida usando como metodologia a anális</w:t>
      </w:r>
      <w:r>
        <w:rPr>
          <w:rFonts w:ascii="Calibri" w:eastAsia="Calibri" w:hAnsi="Calibri" w:cs="Calibri"/>
          <w:sz w:val="24"/>
          <w:szCs w:val="24"/>
        </w:rPr>
        <w:t xml:space="preserve">e da constante </w:t>
      </w:r>
      <w:r>
        <w:rPr>
          <w:color w:val="202124"/>
          <w:sz w:val="24"/>
          <w:szCs w:val="24"/>
          <w:highlight w:val="white"/>
        </w:rPr>
        <w:t xml:space="preserve">α </w:t>
      </w:r>
      <w:r>
        <w:rPr>
          <w:rFonts w:ascii="Calibri" w:eastAsia="Calibri" w:hAnsi="Calibri" w:cs="Calibri"/>
          <w:sz w:val="24"/>
          <w:szCs w:val="24"/>
        </w:rPr>
        <w:t xml:space="preserve">corrigida por regressões com o método </w:t>
      </w:r>
      <w:proofErr w:type="spellStart"/>
      <w:r>
        <w:rPr>
          <w:rFonts w:ascii="Calibri" w:eastAsia="Calibri" w:hAnsi="Calibri" w:cs="Calibri"/>
          <w:sz w:val="24"/>
          <w:szCs w:val="24"/>
        </w:rPr>
        <w:t>Newey-West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594091" w:rsidRDefault="003936C6">
      <w:pPr>
        <w:pStyle w:val="normal0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Revisão da Literatura</w:t>
      </w:r>
    </w:p>
    <w:p w:rsidR="00594091" w:rsidRDefault="003936C6">
      <w:pPr>
        <w:pStyle w:val="normal0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Os autores usam Fama (1972) para dividir as estratégias de gestão de fundos em seletividade (que é a evolução da carteira frente a um índice de referência com risco </w:t>
      </w:r>
      <w:proofErr w:type="gramStart"/>
      <w:r>
        <w:rPr>
          <w:rFonts w:ascii="Calibri" w:eastAsia="Calibri" w:hAnsi="Calibri" w:cs="Calibri"/>
          <w:sz w:val="24"/>
          <w:szCs w:val="24"/>
        </w:rPr>
        <w:t>semelhante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e </w:t>
      </w:r>
      <w:proofErr w:type="spellStart"/>
      <w:r>
        <w:rPr>
          <w:rFonts w:ascii="Calibri" w:eastAsia="Calibri" w:hAnsi="Calibri" w:cs="Calibri"/>
          <w:sz w:val="24"/>
          <w:szCs w:val="24"/>
        </w:rPr>
        <w:t>market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timing (que consiste em uma análise macroeconômica dos ciclos econômic</w:t>
      </w:r>
      <w:r>
        <w:rPr>
          <w:rFonts w:ascii="Calibri" w:eastAsia="Calibri" w:hAnsi="Calibri" w:cs="Calibri"/>
          <w:sz w:val="24"/>
          <w:szCs w:val="24"/>
        </w:rPr>
        <w:t xml:space="preserve">os e retorno de carteira exposta ao risco), para avaliar qual parcela dos ativos </w:t>
      </w:r>
      <w:r>
        <w:rPr>
          <w:rFonts w:ascii="Calibri" w:eastAsia="Calibri" w:hAnsi="Calibri" w:cs="Calibri"/>
          <w:sz w:val="24"/>
          <w:szCs w:val="24"/>
        </w:rPr>
        <w:lastRenderedPageBreak/>
        <w:t>alocar em ativos livres de risco ou ativos com risco. Além disso, analisam resultados de estudos prévios de outros autores sobre assunto com metodologias semelhantes que foram</w:t>
      </w:r>
      <w:r>
        <w:rPr>
          <w:rFonts w:ascii="Calibri" w:eastAsia="Calibri" w:hAnsi="Calibri" w:cs="Calibri"/>
          <w:sz w:val="24"/>
          <w:szCs w:val="24"/>
        </w:rPr>
        <w:t xml:space="preserve"> usados como base para a construção do artigo.</w:t>
      </w:r>
    </w:p>
    <w:p w:rsidR="00594091" w:rsidRDefault="003936C6">
      <w:pPr>
        <w:pStyle w:val="normal0"/>
        <w:numPr>
          <w:ilvl w:val="0"/>
          <w:numId w:val="1"/>
        </w:numPr>
        <w:spacing w:before="240" w:after="24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Metodologia</w:t>
      </w:r>
    </w:p>
    <w:p w:rsidR="00594091" w:rsidRDefault="003936C6">
      <w:pPr>
        <w:pStyle w:val="normal0"/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4"/>
          <w:szCs w:val="24"/>
        </w:rPr>
        <w:t>Os autores utilizaram dados da SI-ANBID contendo cotas de fechamento mensais dos fundos de ações que operaram entre janeiro de 1996 e outubro de 2006.</w:t>
      </w:r>
    </w:p>
    <w:p w:rsidR="00594091" w:rsidRDefault="003936C6">
      <w:pPr>
        <w:pStyle w:val="normal0"/>
        <w:spacing w:before="240" w:after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Usando dados de 626 fundos de 293 instituiçõ</w:t>
      </w:r>
      <w:r>
        <w:rPr>
          <w:rFonts w:ascii="Calibri" w:eastAsia="Calibri" w:hAnsi="Calibri" w:cs="Calibri"/>
          <w:sz w:val="24"/>
          <w:szCs w:val="24"/>
        </w:rPr>
        <w:t xml:space="preserve">es diferentes </w:t>
      </w:r>
      <w:proofErr w:type="gramStart"/>
      <w:r>
        <w:rPr>
          <w:rFonts w:ascii="Calibri" w:eastAsia="Calibri" w:hAnsi="Calibri" w:cs="Calibri"/>
          <w:sz w:val="24"/>
          <w:szCs w:val="24"/>
        </w:rPr>
        <w:t>estimou-se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os retornos mensais dos fundos pela equação:</w:t>
      </w:r>
    </w:p>
    <w:p w:rsidR="00594091" w:rsidRDefault="003936C6">
      <w:pPr>
        <w:pStyle w:val="normal0"/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752600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091" w:rsidRDefault="003936C6">
      <w:pPr>
        <w:pStyle w:val="normal0"/>
        <w:spacing w:before="240" w:after="2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onde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Ri,t é o retorno do fundo i no mês t, </w:t>
      </w:r>
      <w:proofErr w:type="spellStart"/>
      <w:r>
        <w:rPr>
          <w:rFonts w:ascii="Calibri" w:eastAsia="Calibri" w:hAnsi="Calibri" w:cs="Calibri"/>
          <w:sz w:val="24"/>
          <w:szCs w:val="24"/>
        </w:rPr>
        <w:t>Pi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,t o valor da cota do fundo i no mês t e </w:t>
      </w:r>
      <w:proofErr w:type="spellStart"/>
      <w:r>
        <w:rPr>
          <w:rFonts w:ascii="Calibri" w:eastAsia="Calibri" w:hAnsi="Calibri" w:cs="Calibri"/>
          <w:sz w:val="24"/>
          <w:szCs w:val="24"/>
        </w:rPr>
        <w:t>Pi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,t−1 o valor da cota no mês t − 1. 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ativo livre de risco utilizado como base foi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taxa </w:t>
      </w:r>
      <w:proofErr w:type="spellStart"/>
      <w:r>
        <w:rPr>
          <w:rFonts w:ascii="Calibri" w:eastAsia="Calibri" w:hAnsi="Calibri" w:cs="Calibri"/>
          <w:sz w:val="24"/>
          <w:szCs w:val="24"/>
        </w:rPr>
        <w:t>selic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over. A maior parte dos fundos tem a IBOVESPA como referência ou </w:t>
      </w:r>
      <w:proofErr w:type="spellStart"/>
      <w:r>
        <w:rPr>
          <w:rFonts w:ascii="Calibri" w:eastAsia="Calibri" w:hAnsi="Calibri" w:cs="Calibri"/>
          <w:sz w:val="24"/>
          <w:szCs w:val="24"/>
        </w:rPr>
        <w:t>indice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mercado e utilizou-se o preço médio dos fundos de ações no último dia de cada mês. A taxa de administração dos fundos foi contabilizada de forma simplificada por indisponibilidade d</w:t>
      </w:r>
      <w:r>
        <w:rPr>
          <w:rFonts w:ascii="Calibri" w:eastAsia="Calibri" w:hAnsi="Calibri" w:cs="Calibri"/>
          <w:sz w:val="24"/>
          <w:szCs w:val="24"/>
        </w:rPr>
        <w:t>e dados.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Usando os quatro fatores de risco sistemático de </w:t>
      </w:r>
      <w:proofErr w:type="spellStart"/>
      <w:r>
        <w:rPr>
          <w:rFonts w:ascii="Calibri" w:eastAsia="Calibri" w:hAnsi="Calibri" w:cs="Calibri"/>
          <w:sz w:val="24"/>
          <w:szCs w:val="24"/>
        </w:rPr>
        <w:t>Carhart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(1997) construiu-se séries históricas mensais entre janeiro de 1996 e outubro de 2006 usando a diferença entre o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proxy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(IBOVESPA, IBA, IBX) e o ativo livre de risco como variável de excesso,</w:t>
      </w:r>
      <w:r>
        <w:rPr>
          <w:rFonts w:ascii="Calibri" w:eastAsia="Calibri" w:hAnsi="Calibri" w:cs="Calibri"/>
          <w:sz w:val="24"/>
          <w:szCs w:val="24"/>
        </w:rPr>
        <w:t xml:space="preserve"> resultando assim na equação:</w:t>
      </w:r>
    </w:p>
    <w:p w:rsidR="00594091" w:rsidRDefault="003936C6">
      <w:pPr>
        <w:pStyle w:val="normal0"/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791075" cy="64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091" w:rsidRDefault="003936C6">
      <w:pPr>
        <w:pStyle w:val="normal0"/>
        <w:numPr>
          <w:ilvl w:val="0"/>
          <w:numId w:val="4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− </w:t>
      </w:r>
      <w:proofErr w:type="spellStart"/>
      <w:r>
        <w:rPr>
          <w:rFonts w:ascii="Calibri" w:eastAsia="Calibri" w:hAnsi="Calibri" w:cs="Calibri"/>
          <w:sz w:val="24"/>
          <w:szCs w:val="24"/>
        </w:rPr>
        <w:t>Rf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é o excesso de retorno do fundo;</w:t>
      </w:r>
    </w:p>
    <w:p w:rsidR="00594091" w:rsidRDefault="003936C6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Rmi</w:t>
      </w:r>
      <w:proofErr w:type="spellEnd"/>
      <w:r>
        <w:rPr>
          <w:rFonts w:ascii="Calibri" w:eastAsia="Calibri" w:hAnsi="Calibri" w:cs="Calibri"/>
          <w:sz w:val="24"/>
          <w:szCs w:val="24"/>
        </w:rPr>
        <w:t>−</w:t>
      </w:r>
      <w:proofErr w:type="spellStart"/>
      <w:r>
        <w:rPr>
          <w:rFonts w:ascii="Calibri" w:eastAsia="Calibri" w:hAnsi="Calibri" w:cs="Calibri"/>
          <w:sz w:val="24"/>
          <w:szCs w:val="24"/>
        </w:rPr>
        <w:t>Rf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é o excesso de retorno do índice i, que pode ser dado pelo IBOVESPA, IBX ou IBA de acordo com o benchmark do fundo;</w:t>
      </w:r>
    </w:p>
    <w:p w:rsidR="00594091" w:rsidRDefault="003936C6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SMB é o retorno do fator tamanho, ou seja, retorno da carteira comprada nas ações de menores empresas e vendida nas ações das maiores empresas;</w:t>
      </w:r>
    </w:p>
    <w:p w:rsidR="00594091" w:rsidRDefault="003936C6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HML é o retorno da carteira comprada em ações com maior fator razão entre valor contábil e valor de mercado do p</w:t>
      </w:r>
      <w:r>
        <w:rPr>
          <w:rFonts w:ascii="Calibri" w:eastAsia="Calibri" w:hAnsi="Calibri" w:cs="Calibri"/>
          <w:sz w:val="24"/>
          <w:szCs w:val="24"/>
        </w:rPr>
        <w:t>atrimônio líquido e vendida nas de menor razão;</w:t>
      </w:r>
    </w:p>
    <w:p w:rsidR="00594091" w:rsidRDefault="003936C6">
      <w:pPr>
        <w:pStyle w:val="normal0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WML é o retorno do fator momento, medido como sendo o retorno das ações ganhadoras (que geraram maiores lucros) menos o retorno das ações perdedoras (que geraram os piores retornos);</w:t>
      </w:r>
    </w:p>
    <w:p w:rsidR="00594091" w:rsidRDefault="003936C6">
      <w:pPr>
        <w:pStyle w:val="normal0"/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Rmi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− </w:t>
      </w:r>
      <w:proofErr w:type="spellStart"/>
      <w:r>
        <w:rPr>
          <w:rFonts w:ascii="Calibri" w:eastAsia="Calibri" w:hAnsi="Calibri" w:cs="Calibri"/>
          <w:sz w:val="24"/>
          <w:szCs w:val="24"/>
        </w:rPr>
        <w:t>Rf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* 2 é o fator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proofErr w:type="spellStart"/>
      <w:r>
        <w:rPr>
          <w:rFonts w:ascii="Calibri" w:eastAsia="Calibri" w:hAnsi="Calibri" w:cs="Calibri"/>
          <w:sz w:val="24"/>
          <w:szCs w:val="24"/>
        </w:rPr>
        <w:t>market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timing proposto por </w:t>
      </w:r>
      <w:proofErr w:type="spellStart"/>
      <w:r>
        <w:rPr>
          <w:rFonts w:ascii="Calibri" w:eastAsia="Calibri" w:hAnsi="Calibri" w:cs="Calibri"/>
          <w:sz w:val="24"/>
          <w:szCs w:val="24"/>
        </w:rPr>
        <w:t>Treynor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Mazuy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(1966) e </w:t>
      </w:r>
      <w:r>
        <w:rPr>
          <w:b/>
          <w:color w:val="202122"/>
          <w:sz w:val="27"/>
          <w:szCs w:val="27"/>
          <w:highlight w:val="white"/>
        </w:rPr>
        <w:t xml:space="preserve">ε </w:t>
      </w:r>
      <w:r>
        <w:rPr>
          <w:color w:val="202122"/>
          <w:sz w:val="21"/>
          <w:szCs w:val="21"/>
          <w:highlight w:val="white"/>
        </w:rPr>
        <w:t>é</w:t>
      </w:r>
      <w:r>
        <w:rPr>
          <w:b/>
          <w:color w:val="202122"/>
          <w:sz w:val="21"/>
          <w:szCs w:val="21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 erro da regressão.</w:t>
      </w:r>
    </w:p>
    <w:p w:rsidR="00594091" w:rsidRDefault="00594091">
      <w:pPr>
        <w:pStyle w:val="normal0"/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</w:p>
    <w:p w:rsidR="00594091" w:rsidRDefault="003936C6">
      <w:pPr>
        <w:pStyle w:val="normal0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Resultados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resultado da pesquisa foi dado pelo sinal da constante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α.</w:t>
      </w:r>
      <w:r>
        <w:rPr>
          <w:rFonts w:ascii="Calibri" w:eastAsia="Calibri" w:hAnsi="Calibri" w:cs="Calibri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 xml:space="preserve">oucos fundos ativos conseguiram gerar níveis de retornos superiores ao equilíbrio de mercado para os investidores, em comparação com a quantidade maior de fundos que geraram retornos abaixo disso. Em detalhes, apenas 30 dos 626 (4,6%) fundos geraram alfas </w:t>
      </w:r>
      <w:r>
        <w:rPr>
          <w:rFonts w:ascii="Calibri" w:eastAsia="Calibri" w:hAnsi="Calibri" w:cs="Calibri"/>
          <w:sz w:val="24"/>
          <w:szCs w:val="24"/>
        </w:rPr>
        <w:t>significativamente altos, dos quais 29 são fundos ativos e 28 indexados ao IBOVESPA. Entretanto, a maior parte dos fundos com alfas significativamente baixos também são ativos (65%). Tais resultados baseados em um nível de significância de 5%. Mesmo analis</w:t>
      </w:r>
      <w:r>
        <w:rPr>
          <w:rFonts w:ascii="Calibri" w:eastAsia="Calibri" w:hAnsi="Calibri" w:cs="Calibri"/>
          <w:sz w:val="24"/>
          <w:szCs w:val="24"/>
        </w:rPr>
        <w:t>ando-se os retornos brutos, sem taxa de administração, são poucos os alfas significativamente altos, ficando em torno de 10%.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Além disso, usando-se a regressão dos 626 alfas estimados e o logaritmo de seus respectivos patrimônios líquidos descobriu-se que </w:t>
      </w:r>
      <w:r>
        <w:rPr>
          <w:rFonts w:ascii="Calibri" w:eastAsia="Calibri" w:hAnsi="Calibri" w:cs="Calibri"/>
          <w:sz w:val="24"/>
          <w:szCs w:val="24"/>
        </w:rPr>
        <w:t xml:space="preserve">os fundos de maior patrimônio </w:t>
      </w:r>
      <w:proofErr w:type="gramStart"/>
      <w:r>
        <w:rPr>
          <w:rFonts w:ascii="Calibri" w:eastAsia="Calibri" w:hAnsi="Calibri" w:cs="Calibri"/>
          <w:sz w:val="24"/>
          <w:szCs w:val="24"/>
        </w:rPr>
        <w:t>tem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maior retorno que fundos menores e o artigo atribui esse fato a uma maior diluição dos custos de administração e análise mais robusta (com o amparo de grandes gestores na tomada de decisão) proporcionada pelos fundos maior</w:t>
      </w:r>
      <w:r>
        <w:rPr>
          <w:rFonts w:ascii="Calibri" w:eastAsia="Calibri" w:hAnsi="Calibri" w:cs="Calibri"/>
          <w:sz w:val="24"/>
          <w:szCs w:val="24"/>
        </w:rPr>
        <w:t xml:space="preserve">es. </w:t>
      </w:r>
    </w:p>
    <w:p w:rsidR="00594091" w:rsidRDefault="00594091">
      <w:pPr>
        <w:pStyle w:val="normal0"/>
        <w:spacing w:before="240" w:after="240"/>
        <w:rPr>
          <w:rFonts w:ascii="Calibri" w:eastAsia="Calibri" w:hAnsi="Calibri" w:cs="Calibri"/>
          <w:sz w:val="24"/>
          <w:szCs w:val="24"/>
        </w:rPr>
      </w:pPr>
    </w:p>
    <w:p w:rsidR="00594091" w:rsidRDefault="003936C6">
      <w:pPr>
        <w:pStyle w:val="normal0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Conclusão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 interpretação dos autores os resultados do artigo confirmam teorias de </w:t>
      </w:r>
      <w:proofErr w:type="spellStart"/>
      <w:r>
        <w:rPr>
          <w:rFonts w:ascii="Calibri" w:eastAsia="Calibri" w:hAnsi="Calibri" w:cs="Calibri"/>
          <w:sz w:val="24"/>
          <w:szCs w:val="24"/>
        </w:rPr>
        <w:t>Grinblatt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sz w:val="24"/>
          <w:szCs w:val="24"/>
        </w:rPr>
        <w:t>Titman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(1989) e </w:t>
      </w:r>
      <w:proofErr w:type="spellStart"/>
      <w:r>
        <w:rPr>
          <w:rFonts w:ascii="Calibri" w:eastAsia="Calibri" w:hAnsi="Calibri" w:cs="Calibri"/>
          <w:sz w:val="24"/>
          <w:szCs w:val="24"/>
        </w:rPr>
        <w:t>Carhart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(1997) de que são poucos os administradores de fundos capazes de gerar retornos acima do mercado, no caso do estudo apenas 4,6%, a</w:t>
      </w:r>
      <w:r>
        <w:rPr>
          <w:rFonts w:ascii="Calibri" w:eastAsia="Calibri" w:hAnsi="Calibri" w:cs="Calibri"/>
          <w:sz w:val="24"/>
          <w:szCs w:val="24"/>
        </w:rPr>
        <w:t>lém de confirmarem a hipótese de eficiência de mercado. Isso ocorre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pois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 fato de poucos fundos conseguirem explorar pequenas ineficiências no sistema de oferta e demanda do mercado de capitais pode ser um sinal de que os ativos estão sendo avaliados a um</w:t>
      </w:r>
      <w:r>
        <w:rPr>
          <w:rFonts w:ascii="Calibri" w:eastAsia="Calibri" w:hAnsi="Calibri" w:cs="Calibri"/>
          <w:sz w:val="24"/>
          <w:szCs w:val="24"/>
        </w:rPr>
        <w:t xml:space="preserve"> valor muito próximo de seu valor justo.</w:t>
      </w:r>
    </w:p>
    <w:p w:rsidR="00594091" w:rsidRDefault="003936C6">
      <w:pPr>
        <w:pStyle w:val="normal0"/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Apesar de tudo, é importante salientar que os dados levantados de taxas de administração de fundos não estão completamente de acordo com a realidade, pois em muitos casos não é possível ter acesso à taxa real desco</w:t>
      </w:r>
      <w:r>
        <w:rPr>
          <w:rFonts w:ascii="Calibri" w:eastAsia="Calibri" w:hAnsi="Calibri" w:cs="Calibri"/>
          <w:sz w:val="24"/>
          <w:szCs w:val="24"/>
        </w:rPr>
        <w:t>ntada do investidor. Além disso, sugerem uma extensão do estudo levantando taxas mais realistas de corretagem a partir de dados da CVM.</w:t>
      </w:r>
    </w:p>
    <w:p w:rsidR="00594091" w:rsidRDefault="00594091">
      <w:pPr>
        <w:pStyle w:val="normal0"/>
      </w:pPr>
    </w:p>
    <w:sectPr w:rsidR="00594091" w:rsidSect="00594091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2219"/>
    <w:multiLevelType w:val="multilevel"/>
    <w:tmpl w:val="82B4C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F50A1A"/>
    <w:multiLevelType w:val="multilevel"/>
    <w:tmpl w:val="4C4C4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730718"/>
    <w:multiLevelType w:val="multilevel"/>
    <w:tmpl w:val="AD38D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D744CD"/>
    <w:multiLevelType w:val="multilevel"/>
    <w:tmpl w:val="DC28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594091"/>
    <w:rsid w:val="003936C6"/>
    <w:rsid w:val="0059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940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94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94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94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940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94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94091"/>
  </w:style>
  <w:style w:type="table" w:customStyle="1" w:styleId="TableNormal">
    <w:name w:val="Table Normal"/>
    <w:rsid w:val="00594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9409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94091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36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3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Marcelino</cp:lastModifiedBy>
  <cp:revision>2</cp:revision>
  <dcterms:created xsi:type="dcterms:W3CDTF">2020-12-11T07:18:00Z</dcterms:created>
  <dcterms:modified xsi:type="dcterms:W3CDTF">2020-12-11T07:18:00Z</dcterms:modified>
</cp:coreProperties>
</file>