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5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Bruno Marquetti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Itaquaquecetuba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wa5gfzgrqfy8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Análise da qualidade do tênis “puma x-ray 2 square” nas cores azul, branca e vermelha. mencionando o conforto, a durabilidade, o estilo, a matéria prima, a usabilidade e o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heading=h.321i2w5moh4z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a5gfzgrqfy8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wa5gfzgrqfy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_heading=h.wa5gfzgrqfy8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1i2w5moh4z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21i2w5moh4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_heading=h.321i2w5moh4z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3loovoqblsc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83loovoqbls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_heading=h.83loovoqblsc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6krhufpdn46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k6krhufpdn4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_heading=h.k6krhufpdn46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</w:t>
          </w: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PROJETO</w:t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qb7ho8pu7a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rqb7ho8pu7a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_heading=h.rqb7ho8pu7ar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8jkvc7xd38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w8jkvc7xd38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_heading=h.w8jkvc7xd382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a8b0jikxp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6a8b0jikxp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_heading=h.6a8b0jikxprg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w2t9yfemc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4dw2t9yfemc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_heading=h.4dw2t9yfemc6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a6yht7y9do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za6yht7y9do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_heading=h.za6yht7y9dos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u8551bv1on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cu8551bv1o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_heading=h.1cu8551bv1on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vg8rhlreusd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kvg8rhlreus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_heading=h.kvg8rhlreusd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83loovoqblsc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exercício apresentarei o tênis da puma “x-ray 2 square”, mencionando pontos positivos e negativos que observei enquanto utilizava-o.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k6krhufpdn46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rqb7ho8pu7ar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puma x-ray 2 square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 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w8jkvc7xd382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1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75"/>
        <w:gridCol w:w="3150"/>
        <w:tblGridChange w:id="0">
          <w:tblGrid>
            <w:gridCol w:w="1980"/>
            <w:gridCol w:w="3975"/>
            <w:gridCol w:w="315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Tênis com qualidade alta, altamente durável, estiloso e confortável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5a5a5a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Foram utilizados couro sintético, camurça, poliéster, algodão, viscose e penugem.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mencionado anteriormente, é altamente durável, se mantendo inteiro em quase 3 anos de uso intenso.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Foram utilizadas cores que eu pessoalmente gosto muito, como o vermelho mais claro em contraste com o azul mais escuro.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1 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conforto: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Tênis confortável devido a tecnologia de SoftFoam+ da puma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6a8b0jikxprg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minha experiência com o tênis foi extremamente positiva, ele ficou pouco desgastado mesmo após 3 anos de uso, apenas com os detalhes laterais raspados e o bico ficou mais escuro, porém além disso continua confortável e estiloso.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w2t9yfemc6" w:id="7"/>
      <w:bookmarkEnd w:id="7"/>
      <w:r w:rsidDel="00000000" w:rsidR="00000000" w:rsidRPr="00000000">
        <w:rPr>
          <w:rtl w:val="0"/>
        </w:rPr>
        <w:t xml:space="preserve">Evidências </w:t>
      </w:r>
      <w:r w:rsidDel="00000000" w:rsidR="00000000" w:rsidRPr="00000000">
        <w:rPr/>
        <w:drawing>
          <wp:inline distB="114300" distT="114300" distL="114300" distR="114300">
            <wp:extent cx="5399730" cy="30353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imagem 1:  tênis ao sair da caixa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za6yht7y9dos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 ser encontrado em uma loja física da puma em outlets ou on-line, em lojas como magazine luiza (https://www.magazineluiza.com.br/) ou o próprio site da puma (https://br.puma.com/)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cu8551bv1on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me fez pensar sobre a durabilidade do produto e também o tempo que utilizei ele, me fez aprender também as principais matérias primas que a puma utiliza em seus calçados.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kvg8rhlreusd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Seguir regras ABNT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fqBxuYReTxMf5Mwu2hR89Laj3w==">CgMxLjAyDmgud2E1Z2Z6Z3JxZnk4Mg5oLjMyMWkydzVtb2g0ejIOaC44M2xvb3ZvcWJsc2MyDmguazZrcmh1ZnBkbjQ2Mg5oLnJxYjdobzhwdTdhcjIOaC53OGprdmM3eGQzODIyDmguNmE4YjBqaWt4cHJnMg5oLjRkdzJ0OXlmZW1jNjIOaC56YTZ5aHQ3eTlkb3MyDmguMWN1ODU1MWJ2MW9uMg5oLmt2ZzhyaGxyZXVzZDgAciExRWI2NWU2Mldwa0xubW92TDRFRi1oSUpDdkE4U01jQ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