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Modalidade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Abordagem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Autovalor Máximo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Lag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p-valor ARCH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p-valor Breusch-Godfrey LM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Aquisição de bens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Estoque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Aquisição de bens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Contábil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0.042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CC parcelado sem juros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Estoque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0.297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CC parcelado sem juros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Contábil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CC parcelado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Estoque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CC parcelado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Contábil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0.125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CC rotativo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Estoque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CC rotativo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Contábil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0.027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Cheque especial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Estoque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0.887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0.010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Cheque especial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Contábil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Consignado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Estoque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0.884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0.956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Consignado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Contábil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0.865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0.206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Crédito pessoal não consignado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Estoque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Crédito pessoal não consignado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Contábil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Imobiliário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Estoque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Imobiliário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Contábil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0.073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0.001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2026-09-10T14:29:36Z</dcterms:created>
  <dcterms:modified xsi:type="dcterms:W3CDTF">2026-09-10T14:29:36Z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