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pStyle w:val="Title"/>
        <w:spacing w:after="320"/>
        <w:jc w:val="center"/>
      </w:pPr>
      <w:r>
        <w:t>Classificação das três espécies de Iris com MLP from scratch</w:t>
      </w:r>
    </w:p>
    <w:p>
      <w:pPr>
        <w:jc w:val="center"/>
      </w:pPr>
      <w:r>
        <w:rPr>
          <w:rFonts w:ascii="Aptos Display" w:hAnsi="Aptos Display"/>
          <w:b/>
          <w:i w:val="0"/>
          <w:color w:val="457B9D"/>
          <w:sz w:val="32"/>
        </w:rPr>
        <w:t>Relatório do Trabalho 05</w:t>
      </w:r>
    </w:p>
    <w:p/>
    <w:p>
      <w:pPr>
        <w:jc w:val="center"/>
      </w:pPr>
      <w:r>
        <w:rPr>
          <w:rFonts w:ascii="Aptos" w:hAnsi="Aptos"/>
          <w:b/>
          <w:i w:val="0"/>
          <w:color w:val="000000"/>
          <w:sz w:val="24"/>
        </w:rPr>
        <w:t>Visão Computacional e Percepção</w:t>
      </w:r>
    </w:p>
    <w:p/>
    <w:p/>
    <w:p/>
    <w:p>
      <w:pPr>
        <w:jc w:val="center"/>
      </w:pPr>
      <w:r>
        <w:rPr>
          <w:rFonts w:ascii="Aptos" w:hAnsi="Aptos"/>
          <w:b w:val="0"/>
          <w:i w:val="0"/>
          <w:color w:val="000000"/>
          <w:sz w:val="22"/>
        </w:rPr>
        <w:t>Integrantes: ______________________________ e ______________________________</w:t>
      </w:r>
    </w:p>
    <w:p>
      <w:pPr>
        <w:spacing w:before="360"/>
        <w:jc w:val="center"/>
      </w:pPr>
      <w:r>
        <w:rPr>
          <w:rFonts w:ascii="Aptos" w:hAnsi="Aptos"/>
          <w:b w:val="0"/>
          <w:i w:val="0"/>
          <w:color w:val="555555"/>
          <w:sz w:val="20"/>
        </w:rPr>
        <w:t>18 de outubro de 2026</w:t>
      </w:r>
    </w:p>
    <w:p>
      <w:r>
        <w:br w:type="page"/>
      </w:r>
    </w:p>
    <w:p>
      <w:pPr>
        <w:pStyle w:val="Heading1"/>
      </w:pPr>
      <w:r>
        <w:t>Resumo</w:t>
      </w:r>
    </w:p>
    <w:p>
      <w:r>
        <w:t>Este trabalho revisou e depurou uma implementação de perceptron multicamadas feita sem bibliotecas de redes neurais e avaliou quatro configurações no conjunto Iris. A versão corrigida usa propagação vetorizada, softmax, entropia cruzada, inicialização adequada, mini-batches, regularização L2 e parada antecipada opcional. Em um particionamento estratificado de 60% para treino, 20% para validação e 20% para teste, a configuração regularizada escolhida obteve 96,67% de acurácia, com um único erro entre virginica e versicolor. Os experimentos também mostraram que a rede maior atingiu 100% no treino sem superar as alternativas no teste, evidenciando overfitting.</w:t>
      </w:r>
    </w:p>
    <w:p>
      <w:r>
        <w:rPr>
          <w:rFonts w:ascii="Aptos" w:hAnsi="Aptos"/>
          <w:b/>
          <w:i w:val="0"/>
          <w:color w:val="000000"/>
          <w:sz w:val="22"/>
        </w:rPr>
        <w:t xml:space="preserve">Palavras-chave: </w:t>
      </w:r>
      <w:r>
        <w:t>perceptron multicamadas, backpropagation, Iris, convergência, overfitting.</w:t>
      </w:r>
    </w:p>
    <w:p>
      <w:pPr>
        <w:pStyle w:val="Heading1"/>
      </w:pPr>
      <w:r>
        <w:t>1 Introdução</w:t>
      </w:r>
    </w:p>
    <w:p>
      <w:r>
        <w:t>O objetivo do trabalho foi compreender a implementação fornecida de uma MLP, corrigir falhas que comprometiam o treinamento e investigar como classificar bem as três espécies do conjunto Iris. O problema contém 150 amostras, quatro atributos contínuos e três classes balanceadas. Setosa é visualmente bem separada pelas medidas das pétalas; a dificuldade concentra-se na fronteira entre versicolor e virginica.</w:t>
      </w:r>
    </w:p>
    <w:p>
      <w:r>
        <w:t>Além da acurácia final, foram analisadas as curvas de perda, a estabilidade entre inicializações, os exemplos classificados incorretamente e a diferença entre desempenho de treino e validação. Essa abordagem evita concluir pela qualidade do modelo apenas a partir de uma execução favorável.</w:t>
      </w:r>
    </w:p>
    <w:p>
      <w:pPr>
        <w:pStyle w:val="Heading1"/>
      </w:pPr>
      <w:r>
        <w:t>2 Auditoria e depuração da implementação</w:t>
      </w:r>
    </w:p>
    <w:p>
      <w:r>
        <w:t>A inspeção do notebook-base revelou erros de execução e inconsistências matemáticas. As correções foram incorporadas à nova classe MLPFromScratch, preservando a proposta didática de implementar a rede e o backpropagation apenas com NumPy.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92"/>
        <w:gridCol w:w="3192"/>
        <w:gridCol w:w="3192"/>
      </w:tblGrid>
      <w:tr>
        <w:trPr>
          <w:tblHeader w:val="true"/>
        </w:trPr>
        <w:tc>
          <w:tcPr>
            <w:tcW w:type="dxa" w:w="2381"/>
            <w:shd w:fill="264653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7"/>
              </w:rPr>
              <w:t>Problema</w:t>
            </w:r>
          </w:p>
        </w:tc>
        <w:tc>
          <w:tcPr>
            <w:tcW w:type="dxa" w:w="2381"/>
            <w:shd w:fill="264653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7"/>
              </w:rPr>
              <w:t>Efeito</w:t>
            </w:r>
          </w:p>
        </w:tc>
        <w:tc>
          <w:tcPr>
            <w:tcW w:type="dxa" w:w="3515"/>
            <w:shd w:fill="264653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7"/>
              </w:rPr>
              <w:t>Correção</w:t>
            </w:r>
          </w:p>
        </w:tc>
      </w:tr>
      <w:tr>
        <w:tc>
          <w:tcPr>
            <w:tcW w:type="dxa" w:w="238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Nome incorreto do viés oculto</w:t>
            </w:r>
          </w:p>
        </w:tc>
        <w:tc>
          <w:tcPr>
            <w:tcW w:type="dxa" w:w="238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Falha no construtor padrão</w:t>
            </w:r>
          </w:p>
        </w:tc>
        <w:tc>
          <w:tcPr>
            <w:tcW w:type="dxa" w:w="351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Unificação em b1 e inicialização explícita</w:t>
            </w:r>
          </w:p>
        </w:tc>
      </w:tr>
      <w:tr>
        <w:tc>
          <w:tcPr>
            <w:tcW w:type="dxa" w:w="238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5"/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predict sem ativações</w:t>
            </w:r>
          </w:p>
        </w:tc>
        <w:tc>
          <w:tcPr>
            <w:tcW w:type="dxa" w:w="238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5"/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Inferência diferente do treinamento</w:t>
            </w:r>
          </w:p>
        </w:tc>
        <w:tc>
          <w:tcPr>
            <w:tcW w:type="dxa" w:w="351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5"/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Mesmo fluxo direto em treino e teste</w:t>
            </w:r>
          </w:p>
        </w:tc>
      </w:tr>
      <w:tr>
        <w:tc>
          <w:tcPr>
            <w:tcW w:type="dxa" w:w="238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Viés atualizado dentro do laço dos pesos</w:t>
            </w:r>
          </w:p>
        </w:tc>
        <w:tc>
          <w:tcPr>
            <w:tcW w:type="dxa" w:w="238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Correção repetida várias vezes</w:t>
            </w:r>
          </w:p>
        </w:tc>
        <w:tc>
          <w:tcPr>
            <w:tcW w:type="dxa" w:w="351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Gradientes vetorizados, um update por lote</w:t>
            </w:r>
          </w:p>
        </w:tc>
      </w:tr>
      <w:tr>
        <w:tc>
          <w:tcPr>
            <w:tcW w:type="dxa" w:w="238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5"/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Delta oculto após alterar W2</w:t>
            </w:r>
          </w:p>
        </w:tc>
        <w:tc>
          <w:tcPr>
            <w:tcW w:type="dxa" w:w="238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5"/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Gradiente mistura dois estados da rede</w:t>
            </w:r>
          </w:p>
        </w:tc>
        <w:tc>
          <w:tcPr>
            <w:tcW w:type="dxa" w:w="351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5"/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Todos os gradientes calculados antes da atualização</w:t>
            </w:r>
          </w:p>
        </w:tc>
      </w:tr>
      <w:tr>
        <w:tc>
          <w:tcPr>
            <w:tcW w:type="dxa" w:w="238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Erro quadrático acumulado incorretamente</w:t>
            </w:r>
          </w:p>
        </w:tc>
        <w:tc>
          <w:tcPr>
            <w:tcW w:type="dxa" w:w="238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Curva não representa o MSE</w:t>
            </w:r>
          </w:p>
        </w:tc>
        <w:tc>
          <w:tcPr>
            <w:tcW w:type="dxa" w:w="351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Softmax e entropia cruzada estável</w:t>
            </w:r>
          </w:p>
        </w:tc>
      </w:tr>
      <w:tr>
        <w:tc>
          <w:tcPr>
            <w:tcW w:type="dxa" w:w="238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5"/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Sem validação e sem embaralhamento por época</w:t>
            </w:r>
          </w:p>
        </w:tc>
        <w:tc>
          <w:tcPr>
            <w:tcW w:type="dxa" w:w="238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5"/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Não mede generalização durante o ajuste</w:t>
            </w:r>
          </w:p>
        </w:tc>
        <w:tc>
          <w:tcPr>
            <w:tcW w:type="dxa" w:w="351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5"/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Split estratificado, shuffle e early stopping</w:t>
            </w:r>
          </w:p>
        </w:tc>
      </w:tr>
    </w:tbl>
    <w:p>
      <w:pPr>
        <w:spacing w:after="0"/>
      </w:pPr>
    </w:p>
    <w:p>
      <w:pPr>
        <w:pStyle w:val="Heading1"/>
      </w:pPr>
      <w:r>
        <w:t>3 Metodologia</w:t>
      </w:r>
    </w:p>
    <w:p>
      <w:pPr>
        <w:pStyle w:val="Heading2"/>
      </w:pPr>
      <w:r>
        <w:t>3.1 Dados e protocolo</w:t>
      </w:r>
    </w:p>
    <w:p>
      <w:r>
        <w:t>O conjunto foi dividido de forma estratificada e determinística: 90 amostras para treino, 30 para validação e 30 para teste, com dez exemplos de cada classe no teste. Quando indicada, a padronização usou exclusivamente a média e o desvio-padrão do treino, evitando vazamento de informação. Cada configuração foi repetida com dez sementes para variar a inicialização dos pesos.</w:t>
      </w:r>
    </w:p>
    <w:p>
      <w:pPr>
        <w:pStyle w:val="Heading2"/>
      </w:pPr>
      <w:r>
        <w:t>3.2 Arquitetura e otimização</w:t>
      </w:r>
    </w:p>
    <w:p>
      <w:r>
        <w:t>A rede possui quatro entradas, uma camada oculta e três saídas. A saída softmax representa probabilidades mutuamente exclusivas e a função de custo é a entropia cruzada. Os pesos são inicializados por Xavier para sigmoid e tanh e por He para ReLU. O treinamento usa descida de gradiente em mini-batches; a configuração regularizada adiciona penalidade L2 e restaura os pesos da época de menor perda de validação.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68"/>
        <w:gridCol w:w="1368"/>
        <w:gridCol w:w="1368"/>
        <w:gridCol w:w="1368"/>
        <w:gridCol w:w="1368"/>
        <w:gridCol w:w="1368"/>
        <w:gridCol w:w="1368"/>
      </w:tblGrid>
      <w:tr>
        <w:trPr>
          <w:tblHeader w:val="true"/>
        </w:trPr>
        <w:tc>
          <w:tcPr>
            <w:tcW w:type="dxa" w:w="680"/>
            <w:shd w:fill="264653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Config.</w:t>
            </w:r>
          </w:p>
        </w:tc>
        <w:tc>
          <w:tcPr>
            <w:tcW w:type="dxa" w:w="1304"/>
            <w:shd w:fill="264653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Oculta</w:t>
            </w:r>
          </w:p>
        </w:tc>
        <w:tc>
          <w:tcPr>
            <w:tcW w:type="dxa" w:w="1361"/>
            <w:shd w:fill="264653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Padronização</w:t>
            </w:r>
          </w:p>
        </w:tc>
        <w:tc>
          <w:tcPr>
            <w:tcW w:type="dxa" w:w="737"/>
            <w:shd w:fill="264653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Taxa</w:t>
            </w:r>
          </w:p>
        </w:tc>
        <w:tc>
          <w:tcPr>
            <w:tcW w:type="dxa" w:w="624"/>
            <w:shd w:fill="264653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Lote</w:t>
            </w:r>
          </w:p>
        </w:tc>
        <w:tc>
          <w:tcPr>
            <w:tcW w:type="dxa" w:w="2438"/>
            <w:shd w:fill="264653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Regularização</w:t>
            </w:r>
          </w:p>
        </w:tc>
        <w:tc>
          <w:tcPr>
            <w:tcW w:type="dxa" w:w="1020"/>
            <w:shd w:fill="264653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Épocas</w:t>
            </w:r>
          </w:p>
        </w:tc>
      </w:tr>
      <w:tr>
        <w:tc>
          <w:tcPr>
            <w:tcW w:type="dxa" w:w="68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i w:val="0"/>
                <w:color w:val="000000"/>
                <w:sz w:val="16"/>
              </w:rPr>
              <w:t>A</w:t>
            </w:r>
          </w:p>
        </w:tc>
        <w:tc>
          <w:tcPr>
            <w:tcW w:type="dxa" w:w="130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 w:val="0"/>
                <w:i w:val="0"/>
                <w:color w:val="000000"/>
                <w:sz w:val="16"/>
              </w:rPr>
              <w:t>5 sigmoid</w:t>
            </w:r>
          </w:p>
        </w:tc>
        <w:tc>
          <w:tcPr>
            <w:tcW w:type="dxa" w:w="136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 w:val="0"/>
                <w:i w:val="0"/>
                <w:color w:val="000000"/>
                <w:sz w:val="16"/>
              </w:rPr>
              <w:t>Não</w:t>
            </w:r>
          </w:p>
        </w:tc>
        <w:tc>
          <w:tcPr>
            <w:tcW w:type="dxa" w:w="73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 w:val="0"/>
                <w:i w:val="0"/>
                <w:color w:val="000000"/>
                <w:sz w:val="16"/>
              </w:rPr>
              <w:t>0,01</w:t>
            </w:r>
          </w:p>
        </w:tc>
        <w:tc>
          <w:tcPr>
            <w:tcW w:type="dxa" w:w="62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tcW w:type="dxa" w:w="243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 w:val="0"/>
                <w:i w:val="0"/>
                <w:color w:val="000000"/>
                <w:sz w:val="16"/>
              </w:rPr>
              <w:t>Nenhuma</w:t>
            </w:r>
          </w:p>
        </w:tc>
        <w:tc>
          <w:tcPr>
            <w:tcW w:type="dxa" w:w="102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 w:val="0"/>
                <w:i w:val="0"/>
                <w:color w:val="000000"/>
                <w:sz w:val="16"/>
              </w:rPr>
              <w:t>1.500</w:t>
            </w:r>
          </w:p>
        </w:tc>
      </w:tr>
      <w:tr>
        <w:tc>
          <w:tcPr>
            <w:tcW w:type="dxa" w:w="68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5"/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i w:val="0"/>
                <w:color w:val="000000"/>
                <w:sz w:val="16"/>
              </w:rPr>
              <w:t>B</w:t>
            </w:r>
          </w:p>
        </w:tc>
        <w:tc>
          <w:tcPr>
            <w:tcW w:type="dxa" w:w="130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5"/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 w:val="0"/>
                <w:i w:val="0"/>
                <w:color w:val="000000"/>
                <w:sz w:val="16"/>
              </w:rPr>
              <w:t>8 tanh</w:t>
            </w:r>
          </w:p>
        </w:tc>
        <w:tc>
          <w:tcPr>
            <w:tcW w:type="dxa" w:w="136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5"/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 w:val="0"/>
                <w:i w:val="0"/>
                <w:color w:val="000000"/>
                <w:sz w:val="16"/>
              </w:rPr>
              <w:t>Sim</w:t>
            </w:r>
          </w:p>
        </w:tc>
        <w:tc>
          <w:tcPr>
            <w:tcW w:type="dxa" w:w="73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5"/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 w:val="0"/>
                <w:i w:val="0"/>
                <w:color w:val="000000"/>
                <w:sz w:val="16"/>
              </w:rPr>
              <w:t>0,05</w:t>
            </w:r>
          </w:p>
        </w:tc>
        <w:tc>
          <w:tcPr>
            <w:tcW w:type="dxa" w:w="62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5"/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 w:val="0"/>
                <w:i w:val="0"/>
                <w:color w:val="000000"/>
                <w:sz w:val="16"/>
              </w:rPr>
              <w:t>16</w:t>
            </w:r>
          </w:p>
        </w:tc>
        <w:tc>
          <w:tcPr>
            <w:tcW w:type="dxa" w:w="243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5"/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 w:val="0"/>
                <w:i w:val="0"/>
                <w:color w:val="000000"/>
                <w:sz w:val="16"/>
              </w:rPr>
              <w:t>Nenhuma</w:t>
            </w:r>
          </w:p>
        </w:tc>
        <w:tc>
          <w:tcPr>
            <w:tcW w:type="dxa" w:w="102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5"/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 w:val="0"/>
                <w:i w:val="0"/>
                <w:color w:val="000000"/>
                <w:sz w:val="16"/>
              </w:rPr>
              <w:t>1.500</w:t>
            </w:r>
          </w:p>
        </w:tc>
      </w:tr>
      <w:tr>
        <w:tc>
          <w:tcPr>
            <w:tcW w:type="dxa" w:w="68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i w:val="0"/>
                <w:color w:val="000000"/>
                <w:sz w:val="16"/>
              </w:rPr>
              <w:t>C</w:t>
            </w:r>
          </w:p>
        </w:tc>
        <w:tc>
          <w:tcPr>
            <w:tcW w:type="dxa" w:w="130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 w:val="0"/>
                <w:i w:val="0"/>
                <w:color w:val="000000"/>
                <w:sz w:val="16"/>
              </w:rPr>
              <w:t>12 tanh</w:t>
            </w:r>
          </w:p>
        </w:tc>
        <w:tc>
          <w:tcPr>
            <w:tcW w:type="dxa" w:w="136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 w:val="0"/>
                <w:i w:val="0"/>
                <w:color w:val="000000"/>
                <w:sz w:val="16"/>
              </w:rPr>
              <w:t>Sim</w:t>
            </w:r>
          </w:p>
        </w:tc>
        <w:tc>
          <w:tcPr>
            <w:tcW w:type="dxa" w:w="73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 w:val="0"/>
                <w:i w:val="0"/>
                <w:color w:val="000000"/>
                <w:sz w:val="16"/>
              </w:rPr>
              <w:t>0,05</w:t>
            </w:r>
          </w:p>
        </w:tc>
        <w:tc>
          <w:tcPr>
            <w:tcW w:type="dxa" w:w="62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 w:val="0"/>
                <w:i w:val="0"/>
                <w:color w:val="000000"/>
                <w:sz w:val="16"/>
              </w:rPr>
              <w:t>16</w:t>
            </w:r>
          </w:p>
        </w:tc>
        <w:tc>
          <w:tcPr>
            <w:tcW w:type="dxa" w:w="243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 w:val="0"/>
                <w:i w:val="0"/>
                <w:color w:val="000000"/>
                <w:sz w:val="16"/>
              </w:rPr>
              <w:t>L2 0,001 e early stopping</w:t>
            </w:r>
          </w:p>
        </w:tc>
        <w:tc>
          <w:tcPr>
            <w:tcW w:type="dxa" w:w="102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 w:val="0"/>
                <w:i w:val="0"/>
                <w:color w:val="000000"/>
                <w:sz w:val="16"/>
              </w:rPr>
              <w:t>até 2.500</w:t>
            </w:r>
          </w:p>
        </w:tc>
      </w:tr>
      <w:tr>
        <w:tc>
          <w:tcPr>
            <w:tcW w:type="dxa" w:w="68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5"/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i w:val="0"/>
                <w:color w:val="000000"/>
                <w:sz w:val="16"/>
              </w:rPr>
              <w:t>D</w:t>
            </w:r>
          </w:p>
        </w:tc>
        <w:tc>
          <w:tcPr>
            <w:tcW w:type="dxa" w:w="130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5"/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 w:val="0"/>
                <w:i w:val="0"/>
                <w:color w:val="000000"/>
                <w:sz w:val="16"/>
              </w:rPr>
              <w:t>64 ReLU</w:t>
            </w:r>
          </w:p>
        </w:tc>
        <w:tc>
          <w:tcPr>
            <w:tcW w:type="dxa" w:w="136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5"/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 w:val="0"/>
                <w:i w:val="0"/>
                <w:color w:val="000000"/>
                <w:sz w:val="16"/>
              </w:rPr>
              <w:t>Sim</w:t>
            </w:r>
          </w:p>
        </w:tc>
        <w:tc>
          <w:tcPr>
            <w:tcW w:type="dxa" w:w="73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5"/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 w:val="0"/>
                <w:i w:val="0"/>
                <w:color w:val="000000"/>
                <w:sz w:val="16"/>
              </w:rPr>
              <w:t>0,02</w:t>
            </w:r>
          </w:p>
        </w:tc>
        <w:tc>
          <w:tcPr>
            <w:tcW w:type="dxa" w:w="62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5"/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 w:val="0"/>
                <w:i w:val="0"/>
                <w:color w:val="000000"/>
                <w:sz w:val="16"/>
              </w:rPr>
              <w:t>8</w:t>
            </w:r>
          </w:p>
        </w:tc>
        <w:tc>
          <w:tcPr>
            <w:tcW w:type="dxa" w:w="243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5"/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 w:val="0"/>
                <w:i w:val="0"/>
                <w:color w:val="000000"/>
                <w:sz w:val="16"/>
              </w:rPr>
              <w:t>Nenhuma</w:t>
            </w:r>
          </w:p>
        </w:tc>
        <w:tc>
          <w:tcPr>
            <w:tcW w:type="dxa" w:w="102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5"/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 w:val="0"/>
                <w:i w:val="0"/>
                <w:color w:val="000000"/>
                <w:sz w:val="16"/>
              </w:rPr>
              <w:t>2.500</w:t>
            </w:r>
          </w:p>
        </w:tc>
      </w:tr>
    </w:tbl>
    <w:p>
      <w:pPr>
        <w:spacing w:after="0"/>
      </w:pPr>
    </w:p>
    <w:p>
      <w:pPr>
        <w:pStyle w:val="Heading1"/>
      </w:pPr>
      <w:r>
        <w:t>4 Resultados</w:t>
      </w:r>
    </w:p>
    <w:p>
      <w:r>
        <w:t>A Tabela 3 resume as dez inicializações. A configuração A obteve a maior média de teste, mas também a maior variabilidade e exigiu todas as 1.500 épocas. A configuração C foi selecionada para a análise detalhada porque combina resultado alto, regularização explícita, parada antecipada e convergência em menos épocas.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96"/>
        <w:gridCol w:w="1596"/>
        <w:gridCol w:w="1596"/>
        <w:gridCol w:w="1596"/>
        <w:gridCol w:w="1596"/>
        <w:gridCol w:w="1596"/>
      </w:tblGrid>
      <w:tr>
        <w:trPr>
          <w:tblHeader w:val="true"/>
        </w:trPr>
        <w:tc>
          <w:tcPr>
            <w:tcW w:type="dxa" w:w="737"/>
            <w:shd w:fill="264653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7"/>
              </w:rPr>
              <w:t>Config.</w:t>
            </w:r>
          </w:p>
        </w:tc>
        <w:tc>
          <w:tcPr>
            <w:tcW w:type="dxa" w:w="1984"/>
            <w:shd w:fill="264653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7"/>
              </w:rPr>
              <w:t>Teste média ± DP (%)</w:t>
            </w:r>
          </w:p>
        </w:tc>
        <w:tc>
          <w:tcPr>
            <w:tcW w:type="dxa" w:w="1304"/>
            <w:shd w:fill="264653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7"/>
              </w:rPr>
              <w:t>Treino (%)</w:t>
            </w:r>
          </w:p>
        </w:tc>
        <w:tc>
          <w:tcPr>
            <w:tcW w:type="dxa" w:w="1417"/>
            <w:shd w:fill="264653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7"/>
              </w:rPr>
              <w:t>Validação (%)</w:t>
            </w:r>
          </w:p>
        </w:tc>
        <w:tc>
          <w:tcPr>
            <w:tcW w:type="dxa" w:w="1191"/>
            <w:shd w:fill="264653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7"/>
              </w:rPr>
              <w:t>Gap (p.p.)</w:t>
            </w:r>
          </w:p>
        </w:tc>
        <w:tc>
          <w:tcPr>
            <w:tcW w:type="dxa" w:w="1587"/>
            <w:shd w:fill="264653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7"/>
              </w:rPr>
              <w:t>Épocas médias</w:t>
            </w:r>
          </w:p>
        </w:tc>
      </w:tr>
      <w:tr>
        <w:tc>
          <w:tcPr>
            <w:tcW w:type="dxa" w:w="73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A</w:t>
            </w:r>
          </w:p>
        </w:tc>
        <w:tc>
          <w:tcPr>
            <w:tcW w:type="dxa" w:w="198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95,67 ± 3,53</w:t>
            </w:r>
          </w:p>
        </w:tc>
        <w:tc>
          <w:tcPr>
            <w:tcW w:type="dxa" w:w="130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97,44</w:t>
            </w:r>
          </w:p>
        </w:tc>
        <w:tc>
          <w:tcPr>
            <w:tcW w:type="dxa" w:w="141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99,00</w:t>
            </w:r>
          </w:p>
        </w:tc>
        <w:tc>
          <w:tcPr>
            <w:tcW w:type="dxa" w:w="119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−1,56</w:t>
            </w:r>
          </w:p>
        </w:tc>
        <w:tc>
          <w:tcPr>
            <w:tcW w:type="dxa" w:w="158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1.500,0</w:t>
            </w:r>
          </w:p>
        </w:tc>
      </w:tr>
      <w:tr>
        <w:tc>
          <w:tcPr>
            <w:tcW w:type="dxa" w:w="73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5"/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B</w:t>
            </w:r>
          </w:p>
        </w:tc>
        <w:tc>
          <w:tcPr>
            <w:tcW w:type="dxa" w:w="198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5"/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90,33 ± 1,05</w:t>
            </w:r>
          </w:p>
        </w:tc>
        <w:tc>
          <w:tcPr>
            <w:tcW w:type="dxa" w:w="130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5"/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100,00</w:t>
            </w:r>
          </w:p>
        </w:tc>
        <w:tc>
          <w:tcPr>
            <w:tcW w:type="dxa" w:w="141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5"/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96,67</w:t>
            </w:r>
          </w:p>
        </w:tc>
        <w:tc>
          <w:tcPr>
            <w:tcW w:type="dxa" w:w="119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5"/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+3,33</w:t>
            </w:r>
          </w:p>
        </w:tc>
        <w:tc>
          <w:tcPr>
            <w:tcW w:type="dxa" w:w="158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5"/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1.500,0</w:t>
            </w:r>
          </w:p>
        </w:tc>
      </w:tr>
      <w:tr>
        <w:tc>
          <w:tcPr>
            <w:tcW w:type="dxa" w:w="73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C</w:t>
            </w:r>
          </w:p>
        </w:tc>
        <w:tc>
          <w:tcPr>
            <w:tcW w:type="dxa" w:w="198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95,00 ± 1,76</w:t>
            </w:r>
          </w:p>
        </w:tc>
        <w:tc>
          <w:tcPr>
            <w:tcW w:type="dxa" w:w="130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99,00</w:t>
            </w:r>
          </w:p>
        </w:tc>
        <w:tc>
          <w:tcPr>
            <w:tcW w:type="dxa" w:w="141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93,33</w:t>
            </w:r>
          </w:p>
        </w:tc>
        <w:tc>
          <w:tcPr>
            <w:tcW w:type="dxa" w:w="119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+5,67</w:t>
            </w:r>
          </w:p>
        </w:tc>
        <w:tc>
          <w:tcPr>
            <w:tcW w:type="dxa" w:w="158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457,4</w:t>
            </w:r>
          </w:p>
        </w:tc>
      </w:tr>
      <w:tr>
        <w:tc>
          <w:tcPr>
            <w:tcW w:type="dxa" w:w="73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5"/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D</w:t>
            </w:r>
          </w:p>
        </w:tc>
        <w:tc>
          <w:tcPr>
            <w:tcW w:type="dxa" w:w="198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5"/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93,33 ± 0,00</w:t>
            </w:r>
          </w:p>
        </w:tc>
        <w:tc>
          <w:tcPr>
            <w:tcW w:type="dxa" w:w="130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5"/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100,00</w:t>
            </w:r>
          </w:p>
        </w:tc>
        <w:tc>
          <w:tcPr>
            <w:tcW w:type="dxa" w:w="141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5"/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96,67</w:t>
            </w:r>
          </w:p>
        </w:tc>
        <w:tc>
          <w:tcPr>
            <w:tcW w:type="dxa" w:w="119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5"/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+3,33</w:t>
            </w:r>
          </w:p>
        </w:tc>
        <w:tc>
          <w:tcPr>
            <w:tcW w:type="dxa" w:w="158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5"/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2.500,0</w:t>
            </w:r>
          </w:p>
        </w:tc>
      </w:tr>
    </w:tbl>
    <w:p>
      <w:pPr>
        <w:spacing w:after="0"/>
      </w:pPr>
    </w:p>
    <w:p>
      <w:pPr>
        <w:keepNext/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292000" cy="287703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uracia_configuracoe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92000" cy="28770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60" w:after="200"/>
        <w:jc w:val="center"/>
      </w:pPr>
      <w:r>
        <w:rPr>
          <w:rFonts w:ascii="Aptos" w:hAnsi="Aptos"/>
          <w:b w:val="0"/>
          <w:i/>
          <w:color w:val="4D4D4D"/>
          <w:sz w:val="18"/>
        </w:rPr>
        <w:t>Figura 1 — Acurácia média de teste e desvio-padrão em dez inicializações.</w:t>
      </w:r>
    </w:p>
    <w:p>
      <w:pPr>
        <w:pStyle w:val="Heading2"/>
      </w:pPr>
      <w:r>
        <w:t>4.1 Convergência</w:t>
      </w:r>
    </w:p>
    <w:p>
      <w:r>
        <w:t>Todas as configurações reduziram a perda de treino, mas com dinâmicas diferentes. A rede sigmoid sem padronização convergiu mais lentamente. A rede regularizada atingiu sua melhor perda de validação por volta de algumas centenas de épocas e encerrou o ajuste após a janela de paciência. Na rede grande, a perda de treino continuou diminuindo até o fim, enquanto a validação não acompanhou a mesma melhora.</w:t>
      </w:r>
    </w:p>
    <w:p>
      <w:pPr>
        <w:keepNext/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72000" cy="366974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urvas_convergenci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36697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60" w:after="200"/>
        <w:jc w:val="center"/>
      </w:pPr>
      <w:r>
        <w:rPr>
          <w:rFonts w:ascii="Aptos" w:hAnsi="Aptos"/>
          <w:b w:val="0"/>
          <w:i/>
          <w:color w:val="4D4D4D"/>
          <w:sz w:val="18"/>
        </w:rPr>
        <w:t>Figura 2 — Curvas de perda para uma execução representativa com semente 7.</w:t>
      </w:r>
    </w:p>
    <w:p>
      <w:pPr>
        <w:pStyle w:val="Heading1"/>
      </w:pPr>
      <w:r>
        <w:t>5 Análise de erros</w:t>
      </w:r>
    </w:p>
    <w:p>
      <w:r>
        <w:t>Na execução representativa da configuração C, a acurácia de teste foi 96,67% e o F1 macro foi 0,9666. Setosa e versicolor alcançaram recall de 100%; virginica alcançou recall de 90%. O único erro foi uma virginica classificada como versicolor. Não houve confusão envolvendo setosa.</w:t>
      </w:r>
    </w:p>
    <w:p>
      <w:pPr>
        <w:keepNext/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4176000" cy="352338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triz_confusao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76000" cy="35233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60" w:after="200"/>
        <w:jc w:val="center"/>
      </w:pPr>
      <w:r>
        <w:rPr>
          <w:rFonts w:ascii="Aptos" w:hAnsi="Aptos"/>
          <w:b w:val="0"/>
          <w:i/>
          <w:color w:val="4D4D4D"/>
          <w:sz w:val="18"/>
        </w:rPr>
        <w:t>Figura 3 — Matriz de confusão da configuração C, semente 7.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15"/>
        <w:gridCol w:w="1915"/>
        <w:gridCol w:w="1915"/>
        <w:gridCol w:w="1915"/>
        <w:gridCol w:w="1915"/>
      </w:tblGrid>
      <w:tr>
        <w:trPr>
          <w:tblHeader w:val="true"/>
        </w:trPr>
        <w:tc>
          <w:tcPr>
            <w:tcW w:type="dxa" w:w="2268"/>
            <w:shd w:fill="264653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8"/>
              </w:rPr>
              <w:t>Classe</w:t>
            </w:r>
          </w:p>
        </w:tc>
        <w:tc>
          <w:tcPr>
            <w:tcW w:type="dxa" w:w="1474"/>
            <w:shd w:fill="264653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8"/>
              </w:rPr>
              <w:t>Precisão</w:t>
            </w:r>
          </w:p>
        </w:tc>
        <w:tc>
          <w:tcPr>
            <w:tcW w:type="dxa" w:w="1474"/>
            <w:shd w:fill="264653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8"/>
              </w:rPr>
              <w:t>Recall</w:t>
            </w:r>
          </w:p>
        </w:tc>
        <w:tc>
          <w:tcPr>
            <w:tcW w:type="dxa" w:w="1474"/>
            <w:shd w:fill="264653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8"/>
              </w:rPr>
              <w:t>F1</w:t>
            </w:r>
          </w:p>
        </w:tc>
        <w:tc>
          <w:tcPr>
            <w:tcW w:type="dxa" w:w="1247"/>
            <w:shd w:fill="264653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8"/>
              </w:rPr>
              <w:t>Suporte</w:t>
            </w:r>
          </w:p>
        </w:tc>
      </w:tr>
      <w:tr>
        <w:tc>
          <w:tcPr>
            <w:tcW w:type="dxa" w:w="22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i w:val="0"/>
                <w:color w:val="000000"/>
                <w:sz w:val="18"/>
              </w:rPr>
              <w:t>setosa</w:t>
            </w:r>
          </w:p>
        </w:tc>
        <w:tc>
          <w:tcPr>
            <w:tcW w:type="dxa" w:w="147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 w:val="0"/>
                <w:i w:val="0"/>
                <w:color w:val="000000"/>
                <w:sz w:val="18"/>
              </w:rPr>
              <w:t>1,0000</w:t>
            </w:r>
          </w:p>
        </w:tc>
        <w:tc>
          <w:tcPr>
            <w:tcW w:type="dxa" w:w="147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 w:val="0"/>
                <w:i w:val="0"/>
                <w:color w:val="000000"/>
                <w:sz w:val="18"/>
              </w:rPr>
              <w:t>1,0000</w:t>
            </w:r>
          </w:p>
        </w:tc>
        <w:tc>
          <w:tcPr>
            <w:tcW w:type="dxa" w:w="147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 w:val="0"/>
                <w:i w:val="0"/>
                <w:color w:val="000000"/>
                <w:sz w:val="18"/>
              </w:rPr>
              <w:t>1,0000</w:t>
            </w:r>
          </w:p>
        </w:tc>
        <w:tc>
          <w:tcPr>
            <w:tcW w:type="dxa" w:w="124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 w:val="0"/>
                <w:i w:val="0"/>
                <w:color w:val="000000"/>
                <w:sz w:val="18"/>
              </w:rPr>
              <w:t>10</w:t>
            </w:r>
          </w:p>
        </w:tc>
      </w:tr>
      <w:tr>
        <w:tc>
          <w:tcPr>
            <w:tcW w:type="dxa" w:w="22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5"/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i w:val="0"/>
                <w:color w:val="000000"/>
                <w:sz w:val="18"/>
              </w:rPr>
              <w:t>versicolor</w:t>
            </w:r>
          </w:p>
        </w:tc>
        <w:tc>
          <w:tcPr>
            <w:tcW w:type="dxa" w:w="147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5"/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 w:val="0"/>
                <w:i w:val="0"/>
                <w:color w:val="000000"/>
                <w:sz w:val="18"/>
              </w:rPr>
              <w:t>0,9091</w:t>
            </w:r>
          </w:p>
        </w:tc>
        <w:tc>
          <w:tcPr>
            <w:tcW w:type="dxa" w:w="147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5"/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 w:val="0"/>
                <w:i w:val="0"/>
                <w:color w:val="000000"/>
                <w:sz w:val="18"/>
              </w:rPr>
              <w:t>1,0000</w:t>
            </w:r>
          </w:p>
        </w:tc>
        <w:tc>
          <w:tcPr>
            <w:tcW w:type="dxa" w:w="147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5"/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 w:val="0"/>
                <w:i w:val="0"/>
                <w:color w:val="000000"/>
                <w:sz w:val="18"/>
              </w:rPr>
              <w:t>0,9524</w:t>
            </w:r>
          </w:p>
        </w:tc>
        <w:tc>
          <w:tcPr>
            <w:tcW w:type="dxa" w:w="124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5"/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 w:val="0"/>
                <w:i w:val="0"/>
                <w:color w:val="000000"/>
                <w:sz w:val="18"/>
              </w:rPr>
              <w:t>10</w:t>
            </w:r>
          </w:p>
        </w:tc>
      </w:tr>
      <w:tr>
        <w:tc>
          <w:tcPr>
            <w:tcW w:type="dxa" w:w="22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i w:val="0"/>
                <w:color w:val="000000"/>
                <w:sz w:val="18"/>
              </w:rPr>
              <w:t>virginica</w:t>
            </w:r>
          </w:p>
        </w:tc>
        <w:tc>
          <w:tcPr>
            <w:tcW w:type="dxa" w:w="147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 w:val="0"/>
                <w:i w:val="0"/>
                <w:color w:val="000000"/>
                <w:sz w:val="18"/>
              </w:rPr>
              <w:t>1,0000</w:t>
            </w:r>
          </w:p>
        </w:tc>
        <w:tc>
          <w:tcPr>
            <w:tcW w:type="dxa" w:w="147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 w:val="0"/>
                <w:i w:val="0"/>
                <w:color w:val="000000"/>
                <w:sz w:val="18"/>
              </w:rPr>
              <w:t>0,9000</w:t>
            </w:r>
          </w:p>
        </w:tc>
        <w:tc>
          <w:tcPr>
            <w:tcW w:type="dxa" w:w="147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 w:val="0"/>
                <w:i w:val="0"/>
                <w:color w:val="000000"/>
                <w:sz w:val="18"/>
              </w:rPr>
              <w:t>0,9474</w:t>
            </w:r>
          </w:p>
        </w:tc>
        <w:tc>
          <w:tcPr>
            <w:tcW w:type="dxa" w:w="124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 w:val="0"/>
                <w:i w:val="0"/>
                <w:color w:val="000000"/>
                <w:sz w:val="18"/>
              </w:rPr>
              <w:t>10</w:t>
            </w:r>
          </w:p>
        </w:tc>
      </w:tr>
      <w:tr>
        <w:tc>
          <w:tcPr>
            <w:tcW w:type="dxa" w:w="22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5"/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i w:val="0"/>
                <w:color w:val="000000"/>
                <w:sz w:val="18"/>
              </w:rPr>
              <w:t>Macro</w:t>
            </w:r>
          </w:p>
        </w:tc>
        <w:tc>
          <w:tcPr>
            <w:tcW w:type="dxa" w:w="147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5"/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 w:val="0"/>
                <w:i w:val="0"/>
                <w:color w:val="000000"/>
                <w:sz w:val="18"/>
              </w:rPr>
              <w:t>0,9697</w:t>
            </w:r>
          </w:p>
        </w:tc>
        <w:tc>
          <w:tcPr>
            <w:tcW w:type="dxa" w:w="147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5"/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 w:val="0"/>
                <w:i w:val="0"/>
                <w:color w:val="000000"/>
                <w:sz w:val="18"/>
              </w:rPr>
              <w:t>0,9667</w:t>
            </w:r>
          </w:p>
        </w:tc>
        <w:tc>
          <w:tcPr>
            <w:tcW w:type="dxa" w:w="147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5"/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 w:val="0"/>
                <w:i w:val="0"/>
                <w:color w:val="000000"/>
                <w:sz w:val="18"/>
              </w:rPr>
              <w:t>0,9666</w:t>
            </w:r>
          </w:p>
        </w:tc>
        <w:tc>
          <w:tcPr>
            <w:tcW w:type="dxa" w:w="124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5"/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 w:val="0"/>
                <w:i w:val="0"/>
                <w:color w:val="000000"/>
                <w:sz w:val="18"/>
              </w:rPr>
              <w:t>30</w:t>
            </w:r>
          </w:p>
        </w:tc>
      </w:tr>
    </w:tbl>
    <w:p>
      <w:pPr>
        <w:spacing w:after="0"/>
      </w:pPr>
    </w:p>
    <w:p>
      <w:r>
        <w:t>O padrão de erro é coerente com a geometria dos dados: versicolor e virginica se sobrepõem nas medidas de pétala e sépala. Portanto, o erro restante ocorre justamente na fronteira mais ambígua, e não indica colapso de uma das classes.</w:t>
      </w:r>
    </w:p>
    <w:p>
      <w:pPr>
        <w:pStyle w:val="Heading1"/>
      </w:pPr>
      <w:r>
        <w:t>6 Overfitting</w:t>
      </w:r>
    </w:p>
    <w:p>
      <w:r>
        <w:t>O principal sinal de overfitting apareceu nas configurações B e D. Ambas chegaram a 100% de acurácia no treino, mas obtiveram respectivamente 90,33% e 93,33% de média no teste. Na configuração D, 64 neurônios e 2.500 épocas reduziram a perda de treino para valores próximos de zero sem produzir ganho correspondente na validação ou no teste.</w:t>
      </w:r>
    </w:p>
    <w:p>
      <w:r>
        <w:t>A configuração C limita esse comportamento por três mecanismos: capacidade moderada, penalidade L2 e parada antecipada. Mesmo que seu gap médio treino–validação seja afetado pela pequena validação de 30 exemplos, ela reduz o custo computacional para cerca de 457 épocas em média e mantém desempenho de teste estável. A diferença de um exemplo altera a acurácia de validação em 3,33 pontos percentuais, por isso curvas, repetição de sementes e matriz de confusão são mais informativas do que uma única porcentagem.</w:t>
      </w:r>
    </w:p>
    <w:p>
      <w:pPr>
        <w:pStyle w:val="Heading1"/>
      </w:pPr>
      <w:r>
        <w:t>7 Conclusão</w:t>
      </w:r>
    </w:p>
    <w:p>
      <w:r>
        <w:t>A depuração corrigiu o fluxo de inferência, o cálculo dos gradientes, a atualização dos vieses e a medição do erro. A MLP regularizada selecionada classificou bem as três classes e atingiu 96,67% no teste, errando apenas uma amostra na fronteira versicolor–virginica. Os experimentos mostraram ainda que aumentar a rede e prolongar o treinamento não garante melhor generalização. Para Iris, uma camada oculta pequena, softmax, entropia cruzada, inicialização apropriada e monitoramento de validação oferecem uma solução simples, reproduzível e suficiente.</w:t>
      </w:r>
    </w:p>
    <w:p>
      <w:pPr>
        <w:pStyle w:val="Heading1"/>
      </w:pPr>
      <w:r>
        <w:t>Referências</w:t>
      </w:r>
    </w:p>
    <w:p>
      <w:pPr>
        <w:pStyle w:val="ListNumber"/>
      </w:pPr>
      <w:r>
        <w:t>SCIKIT-LEARN DEVELOPERS. Iris plants dataset. Documentação do scikit-learn.</w:t>
      </w:r>
    </w:p>
    <w:p>
      <w:pPr>
        <w:pStyle w:val="ListNumber"/>
      </w:pPr>
      <w:r>
        <w:t>LEMOS, Vítor Gama. Multilayer Perceptron from Scratch. Notebook de referência adaptado no material da disciplina.</w:t>
      </w:r>
    </w:p>
    <w:p>
      <w:pPr>
        <w:pStyle w:val="ListNumber"/>
      </w:pPr>
      <w:r>
        <w:t>GOODFELLOW, Ian; BENGIO, Yoshua; COURVILLE, Aaron. Deep Learning. MIT Press, 2016.</w:t>
      </w:r>
    </w:p>
    <w:sectPr w:rsidR="00FC693F" w:rsidRPr="0006063C" w:rsidSect="00034616">
      <w:footerReference w:type="default" r:id="rId9"/>
      <w:pgSz w:w="12240" w:h="15840"/>
      <w:pgMar w:top="1247" w:right="1332" w:bottom="1134" w:left="133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b w:val="0"/>
        <w:i w:val="0"/>
        <w:color w:val="666666"/>
        <w:sz w:val="18"/>
      </w:rPr>
      <w:t xml:space="preserve">Página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76" w:lineRule="auto"/>
    </w:pPr>
    <w:rPr>
      <w:rFonts w:ascii="Aptos" w:hAnsi="Aptos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4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Classificação das três espécies de Iris com MLP from scratch</dc:title>
  <dc:subject>Relatório do Trabalho 05 de Visão Computacional e Percepção</dc:subject>
  <dc:creator>Nome 1 e Nome 2</dc:creator>
  <cp:keywords>MLP, Iris, backpropagation, convergência, overfitting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