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t>Classificação da Qualidade de Vinhos</w:t>
      </w:r>
    </w:p>
    <w:p>
      <w:pPr>
        <w:jc w:val="center"/>
      </w:pPr>
      <w:r>
        <w:rPr>
          <w:color w:val="666666"/>
          <w:sz w:val="28"/>
        </w:rPr>
        <w:t>Apresentação Executiva — Tech Challenge Fase 2 | PósTech FIAP Data Analytics</w:t>
      </w:r>
    </w:p>
    <w:p>
      <w:pPr>
        <w:spacing w:after="120"/>
        <w:pBdr>
          <w:bottom w:val="single" w:sz="8" w:space="1" w:color="01696F"/>
        </w:pBdr>
      </w:pPr>
    </w:p>
    <w:p>
      <w:pPr>
        <w:jc w:val="center"/>
      </w:pPr>
      <w:r>
        <w:rPr>
          <w:sz w:val="20"/>
        </w:rPr>
        <w:t>Documento executivo em Word para apresentação e conversão posterior em PDF.</w:t>
      </w:r>
    </w:p>
    <w:p>
      <w:r>
        <w:br w:type="page"/>
      </w:r>
    </w:p>
    <w:p>
      <w:pPr>
        <w:pStyle w:val="Heading1"/>
      </w:pPr>
      <w:r>
        <w:t>Slide 1 — Capa</w:t>
      </w:r>
    </w:p>
    <w:p>
      <w:pPr>
        <w:spacing w:after="120"/>
        <w:pBdr>
          <w:bottom w:val="single" w:sz="8" w:space="1" w:color="01696F"/>
        </w:pBdr>
      </w:pPr>
    </w:p>
    <w:p>
      <w:pPr>
        <w:spacing w:after="120"/>
      </w:pPr>
      <w:r>
        <w:rPr>
          <w:b/>
        </w:rPr>
        <w:t>Prevendo a Qualidade de Vinhos com Dados</w:t>
      </w:r>
    </w:p>
    <w:p>
      <w:pPr>
        <w:spacing w:after="120"/>
      </w:pPr>
      <w:r>
        <w:rPr>
          <w:b w:val="0"/>
        </w:rPr>
        <w:t>Do laboratório à decisão de negócio</w:t>
      </w:r>
    </w:p>
    <w:p>
      <w:pPr>
        <w:spacing w:after="120"/>
      </w:pPr>
      <w:r>
        <w:rPr>
          <w:b w:val="0"/>
        </w:rPr>
        <w:t>Bruno Ricardo de Oliveira — Grupo 143</w:t>
      </w:r>
    </w:p>
    <w:p>
      <w:pPr>
        <w:spacing w:after="120"/>
      </w:pPr>
      <w:r>
        <w:rPr>
          <w:b w:val="0"/>
        </w:rPr>
        <w:t>PósTech FIAP Data Analytics — Fase 2</w:t>
      </w:r>
    </w:p>
    <w:p>
      <w:r>
        <w:br w:type="page"/>
      </w:r>
    </w:p>
    <w:p>
      <w:pPr>
        <w:pStyle w:val="Heading1"/>
      </w:pPr>
      <w:r>
        <w:t>Slide 2 — O Problema de Negócio</w:t>
      </w:r>
    </w:p>
    <w:p>
      <w:pPr>
        <w:spacing w:after="120"/>
        <w:pBdr>
          <w:bottom w:val="single" w:sz="8" w:space="1" w:color="01696F"/>
        </w:pBdr>
      </w:pPr>
    </w:p>
    <w:p>
      <w:pPr>
        <w:pStyle w:val="ListBullet"/>
        <w:spacing w:after="60"/>
        <w:ind w:left="283"/>
      </w:pPr>
      <w:r>
        <w:t>A qualidade do vinho é avaliada por especialistas, em análise sensorial.</w:t>
      </w:r>
    </w:p>
    <w:p>
      <w:pPr>
        <w:pStyle w:val="ListBullet"/>
        <w:spacing w:after="60"/>
        <w:ind w:left="283"/>
      </w:pPr>
      <w:r>
        <w:t>Processo subjetivo, lento e caro — difícil de padronizar em escala.</w:t>
      </w:r>
    </w:p>
    <w:p>
      <w:pPr>
        <w:pStyle w:val="ListBullet"/>
        <w:spacing w:after="60"/>
        <w:ind w:left="283"/>
      </w:pPr>
      <w:r>
        <w:t>Pergunta de negócio: conseguimos antecipar quais lotes serão de alta</w:t>
      </w:r>
    </w:p>
    <w:p>
      <w:pPr>
        <w:spacing w:after="120"/>
      </w:pPr>
      <w:r>
        <w:rPr>
          <w:b w:val="0"/>
        </w:rPr>
        <w:t xml:space="preserve">qualidade usando apenas os </w:t>
      </w:r>
      <w:r>
        <w:rPr>
          <w:b/>
        </w:rPr>
        <w:t>exames físico-químicos</w:t>
      </w:r>
      <w:r>
        <w:rPr>
          <w:b w:val="0"/>
        </w:rPr>
        <w:t xml:space="preserve"> que já fazemos hoje?</w:t>
      </w:r>
    </w:p>
    <w:p>
      <w:pPr>
        <w:pStyle w:val="ListBullet"/>
        <w:spacing w:after="60"/>
        <w:ind w:left="283"/>
      </w:pPr>
      <w:r>
        <w:t>Valor: priorizar lotes promissores, reduzir custo de avaliação e apoiar o</w:t>
      </w:r>
    </w:p>
    <w:p>
      <w:pPr>
        <w:spacing w:after="120"/>
      </w:pPr>
      <w:r>
        <w:rPr>
          <w:b w:val="0"/>
        </w:rPr>
        <w:t>controle de qualidade.</w:t>
      </w:r>
    </w:p>
    <w:p>
      <w:r>
        <w:br w:type="page"/>
      </w:r>
    </w:p>
    <w:p>
      <w:pPr>
        <w:pStyle w:val="Heading1"/>
      </w:pPr>
      <w:r>
        <w:t>Slide 3 — Os Dados</w:t>
      </w:r>
    </w:p>
    <w:p>
      <w:pPr>
        <w:spacing w:after="120"/>
        <w:pBdr>
          <w:bottom w:val="single" w:sz="8" w:space="1" w:color="01696F"/>
        </w:pBdr>
      </w:pPr>
    </w:p>
    <w:p>
      <w:pPr>
        <w:pStyle w:val="ListBullet"/>
        <w:spacing w:after="60"/>
        <w:ind w:left="283"/>
      </w:pPr>
      <w:r>
        <w:t>Wine Quality Dataset (vinho tinto): 1.143 amostras.</w:t>
      </w:r>
    </w:p>
    <w:p>
      <w:pPr>
        <w:pStyle w:val="ListBullet"/>
        <w:spacing w:after="60"/>
        <w:ind w:left="283"/>
      </w:pPr>
      <w:r>
        <w:t>11 medições físico-químicas por amostra (álcool, acidez, sulfatos, pH...).</w:t>
      </w:r>
    </w:p>
    <w:p>
      <w:pPr>
        <w:pStyle w:val="ListBullet"/>
        <w:spacing w:after="60"/>
        <w:ind w:left="283"/>
      </w:pPr>
      <w:r>
        <w:t>Nota de qualidade de 0 a 10 dada por especialistas.</w:t>
      </w:r>
    </w:p>
    <w:p>
      <w:pPr>
        <w:pStyle w:val="ListBullet"/>
        <w:spacing w:after="60"/>
        <w:ind w:left="283"/>
      </w:pPr>
      <w:r>
        <w:t>Base limpa: sem valores ausentes; removidas 125 amostras duplicadas para</w:t>
      </w:r>
    </w:p>
    <w:p>
      <w:pPr>
        <w:spacing w:after="120"/>
      </w:pPr>
      <w:r>
        <w:rPr>
          <w:b w:val="0"/>
        </w:rPr>
        <w:t xml:space="preserve">garantir uma avaliação honesta → </w:t>
      </w:r>
      <w:r>
        <w:rPr>
          <w:b/>
        </w:rPr>
        <w:t>1.018 amostras</w:t>
      </w:r>
      <w:r>
        <w:rPr>
          <w:b w:val="0"/>
        </w:rPr>
        <w:t xml:space="preserve"> finais.</w:t>
      </w:r>
    </w:p>
    <w:p>
      <w:r>
        <w:br w:type="page"/>
      </w:r>
    </w:p>
    <w:p>
      <w:pPr>
        <w:pStyle w:val="Heading1"/>
      </w:pPr>
      <w:r>
        <w:t>Slide 4 — A Definição do Alvo</w:t>
      </w:r>
    </w:p>
    <w:p>
      <w:pPr>
        <w:spacing w:after="120"/>
        <w:pBdr>
          <w:bottom w:val="single" w:sz="8" w:space="1" w:color="01696F"/>
        </w:pBdr>
      </w:pPr>
    </w:p>
    <w:p>
      <w:pPr>
        <w:spacing w:after="120"/>
      </w:pPr>
      <w:r>
        <w:rPr>
          <w:b w:val="0"/>
        </w:rPr>
        <w:t xml:space="preserve">Transformamos a nota em uma pergunta de </w:t>
      </w:r>
      <w:r>
        <w:rPr>
          <w:b/>
        </w:rPr>
        <w:t>sim ou não</w:t>
      </w:r>
      <w:r>
        <w:rPr>
          <w:b w:val="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7F1F2"/>
          </w:tcPr>
          <w:p>
            <w:r/>
            <w:r>
              <w:rPr>
                <w:rFonts w:ascii="Calibri" w:hAnsi="Calibri"/>
                <w:b/>
                <w:color w:val="28251D"/>
                <w:sz w:val="21"/>
              </w:rPr>
              <w:t>Alta qualidade</w:t>
            </w:r>
          </w:p>
        </w:tc>
        <w:tc>
          <w:tcPr>
            <w:tcW w:type="dxa" w:w="5156"/>
            <w:shd w:fill="E7F1F2"/>
          </w:tcPr>
          <w:p>
            <w:r/>
            <w:r>
              <w:rPr>
                <w:rFonts w:ascii="Calibri" w:hAnsi="Calibri"/>
                <w:b/>
                <w:color w:val="28251D"/>
                <w:sz w:val="21"/>
              </w:rPr>
              <w:t>Baixa/Média qualidade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Calibri" w:hAnsi="Calibri"/>
                <w:b w:val="0"/>
                <w:color w:val="28251D"/>
                <w:sz w:val="21"/>
              </w:rPr>
              <w:t>nota ≥ 7</w:t>
            </w:r>
          </w:p>
        </w:tc>
        <w:tc>
          <w:tcPr>
            <w:tcW w:type="dxa" w:w="5156"/>
          </w:tcPr>
          <w:p>
            <w:r/>
            <w:r>
              <w:rPr>
                <w:rFonts w:ascii="Calibri" w:hAnsi="Calibri"/>
                <w:b w:val="0"/>
                <w:color w:val="28251D"/>
                <w:sz w:val="21"/>
              </w:rPr>
              <w:t>nota &lt; 7</w:t>
            </w:r>
          </w:p>
        </w:tc>
      </w:tr>
    </w:tbl>
    <w:p/>
    <w:p>
      <w:pPr>
        <w:pStyle w:val="ListBullet"/>
        <w:spacing w:after="60"/>
        <w:ind w:left="283"/>
      </w:pPr>
      <w:r>
        <w:t>Apenas 13% dos vinhos são de alta qualidade → problema desbalanceado.</w:t>
      </w:r>
    </w:p>
    <w:p>
      <w:pPr>
        <w:pStyle w:val="ListBullet"/>
        <w:spacing w:after="60"/>
        <w:ind w:left="283"/>
      </w:pPr>
      <w:r>
        <w:t>Consequência: um modelo "preguiçoso" que sempre diz "não é alta qualidade"</w:t>
      </w:r>
    </w:p>
    <w:p>
      <w:pPr>
        <w:spacing w:after="120"/>
      </w:pPr>
      <w:r>
        <w:rPr>
          <w:b w:val="0"/>
        </w:rPr>
        <w:t xml:space="preserve">acerta 87% das vezes, mas </w:t>
      </w:r>
      <w:r>
        <w:rPr>
          <w:b/>
        </w:rPr>
        <w:t>não serve para nada</w:t>
      </w:r>
      <w:r>
        <w:rPr>
          <w:b w:val="0"/>
        </w:rPr>
        <w:t xml:space="preserve"> — nunca identifica os vinhos</w:t>
      </w:r>
    </w:p>
    <w:p>
      <w:pPr>
        <w:spacing w:after="120"/>
      </w:pPr>
      <w:r>
        <w:rPr>
          <w:b w:val="0"/>
        </w:rPr>
        <w:t>bons. Por isso não olhamos só a acurácia.</w:t>
      </w:r>
    </w:p>
    <w:p>
      <w:pPr>
        <w:jc w:val="center"/>
      </w:pPr>
      <w:r>
        <w:rPr>
          <w:color w:val="666666"/>
          <w:sz w:val="17"/>
        </w:rPr>
        <w:t>*(Figura: figures/02_distribuicao_alvo_binario.png)*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166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istribuicao_alvo_binar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16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7"/>
        </w:rPr>
        <w:t>02 distribuicao alvo binario</w:t>
      </w:r>
    </w:p>
    <w:p>
      <w:r>
        <w:br w:type="page"/>
      </w:r>
    </w:p>
    <w:p>
      <w:pPr>
        <w:pStyle w:val="Heading1"/>
      </w:pPr>
      <w:r>
        <w:t>Slide 5 — O que a Análise Exploratória Revelou</w:t>
      </w:r>
    </w:p>
    <w:p>
      <w:pPr>
        <w:spacing w:after="120"/>
        <w:pBdr>
          <w:bottom w:val="single" w:sz="8" w:space="1" w:color="01696F"/>
        </w:pBdr>
      </w:pPr>
    </w:p>
    <w:p>
      <w:pPr>
        <w:pStyle w:val="ListBullet"/>
        <w:spacing w:after="60"/>
        <w:ind w:left="283"/>
      </w:pPr>
      <w:r>
        <w:t>Teor alcoólico é o fator mais associado à qualidade: vinhos melhores tendem</w:t>
      </w:r>
    </w:p>
    <w:p>
      <w:pPr>
        <w:spacing w:after="120"/>
      </w:pPr>
      <w:r>
        <w:rPr>
          <w:b w:val="0"/>
        </w:rPr>
        <w:t>a ter mais álcool.</w:t>
      </w:r>
    </w:p>
    <w:p>
      <w:pPr>
        <w:pStyle w:val="ListBullet"/>
        <w:spacing w:after="60"/>
        <w:ind w:left="283"/>
      </w:pPr>
      <w:r>
        <w:t>Acidez volátil tem relação inversa: excesso derruba a qualidade.</w:t>
      </w:r>
    </w:p>
    <w:p>
      <w:pPr>
        <w:pStyle w:val="ListBullet"/>
        <w:spacing w:after="60"/>
        <w:ind w:left="283"/>
      </w:pPr>
      <w:r>
        <w:t>Sulfatos e ácido cítrico também acompanham vinhos melhor avaliados.</w:t>
      </w:r>
    </w:p>
    <w:p>
      <w:pPr>
        <w:pStyle w:val="ListBullet"/>
        <w:spacing w:after="60"/>
        <w:ind w:left="283"/>
      </w:pPr>
      <w:r>
        <w:t>Correlações coerentes com o conhecimento enológico — dão confiança ao modelo.</w:t>
      </w:r>
    </w:p>
    <w:p>
      <w:pPr>
        <w:jc w:val="center"/>
      </w:pPr>
      <w:r>
        <w:rPr>
          <w:color w:val="666666"/>
          <w:sz w:val="17"/>
        </w:rPr>
        <w:t>*(Figuras: figures/03_matriz_correlacao.png, figures/05_boxplots_features_por_classe.png)*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8658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triz_correla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865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7"/>
        </w:rPr>
        <w:t>03 matriz correlacao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123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oxplots_features_por_clas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12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7"/>
        </w:rPr>
        <w:t>05 boxplots features por classe</w:t>
      </w:r>
    </w:p>
    <w:p>
      <w:r>
        <w:br w:type="page"/>
      </w:r>
    </w:p>
    <w:p>
      <w:pPr>
        <w:pStyle w:val="Heading1"/>
      </w:pPr>
      <w:r>
        <w:t>Slide 6 — A Abordagem</w:t>
      </w:r>
    </w:p>
    <w:p>
      <w:pPr>
        <w:spacing w:after="120"/>
        <w:pBdr>
          <w:bottom w:val="single" w:sz="8" w:space="1" w:color="01696F"/>
        </w:pBdr>
      </w:pPr>
    </w:p>
    <w:p>
      <w:pPr>
        <w:pStyle w:val="ListNumber"/>
        <w:spacing w:after="60"/>
      </w:pPr>
      <w:r>
        <w:t>Separamos os dados em treino (80%) e teste (20%), mantendo a proporção</w:t>
      </w:r>
    </w:p>
    <w:p>
      <w:pPr>
        <w:spacing w:after="120"/>
      </w:pPr>
      <w:r>
        <w:rPr>
          <w:b w:val="0"/>
        </w:rPr>
        <w:t>de vinhos bons.</w:t>
      </w:r>
    </w:p>
    <w:p>
      <w:pPr>
        <w:pStyle w:val="ListNumber"/>
        <w:spacing w:after="60"/>
      </w:pPr>
      <w:r>
        <w:t>Padronizamos as medições e testamos 4 modelos de inteligência artificial +</w:t>
      </w:r>
    </w:p>
    <w:p>
      <w:pPr>
        <w:spacing w:after="120"/>
      </w:pPr>
      <w:r>
        <w:rPr>
          <w:b w:val="0"/>
        </w:rPr>
        <w:t>um modelo de referência (baseline).</w:t>
      </w:r>
    </w:p>
    <w:p>
      <w:pPr>
        <w:pStyle w:val="ListNumber"/>
        <w:spacing w:after="60"/>
      </w:pPr>
      <w:r>
        <w:t>Ajustamos cada modelo com validação cruzada (para não depender de sorte).</w:t>
      </w:r>
    </w:p>
    <w:p>
      <w:pPr>
        <w:pStyle w:val="ListNumber"/>
        <w:spacing w:after="60"/>
      </w:pPr>
      <w:r>
        <w:t>Comparamos todos em dados nunca vistos no treino.</w:t>
      </w:r>
    </w:p>
    <w:p>
      <w:pPr>
        <w:spacing w:after="120"/>
      </w:pPr>
      <w:r>
        <w:rPr>
          <w:b w:val="0"/>
        </w:rPr>
        <w:t xml:space="preserve">Tudo </w:t>
      </w:r>
      <w:r>
        <w:rPr>
          <w:b/>
        </w:rPr>
        <w:t>reprodutível</w:t>
      </w:r>
      <w:r>
        <w:rPr>
          <w:b w:val="0"/>
        </w:rPr>
        <w:t xml:space="preserve"> e sem "vazamento" de informação.</w:t>
      </w:r>
    </w:p>
    <w:p>
      <w:r>
        <w:br w:type="page"/>
      </w:r>
    </w:p>
    <w:p>
      <w:pPr>
        <w:pStyle w:val="Heading1"/>
      </w:pPr>
      <w:r>
        <w:t>Slide 7 — Modelos Testados e Resultados</w:t>
      </w:r>
    </w:p>
    <w:p>
      <w:pPr>
        <w:spacing w:after="120"/>
        <w:pBdr>
          <w:bottom w:val="single" w:sz="8" w:space="1" w:color="01696F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E7F1F2"/>
          </w:tcPr>
          <w:p>
            <w:r/>
            <w:r>
              <w:rPr>
                <w:rFonts w:ascii="Calibri" w:hAnsi="Calibri"/>
                <w:b/>
                <w:color w:val="28251D"/>
                <w:sz w:val="21"/>
              </w:rPr>
              <w:t>Modelo</w:t>
            </w:r>
          </w:p>
        </w:tc>
        <w:tc>
          <w:tcPr>
            <w:tcW w:type="dxa" w:w="3437"/>
            <w:shd w:fill="E7F1F2"/>
          </w:tcPr>
          <w:p>
            <w:r/>
            <w:r>
              <w:rPr>
                <w:rFonts w:ascii="Calibri" w:hAnsi="Calibri"/>
                <w:b/>
                <w:color w:val="28251D"/>
                <w:sz w:val="21"/>
              </w:rPr>
              <w:t>ROC-AUC</w:t>
            </w:r>
          </w:p>
        </w:tc>
        <w:tc>
          <w:tcPr>
            <w:tcW w:type="dxa" w:w="3437"/>
            <w:shd w:fill="E7F1F2"/>
          </w:tcPr>
          <w:p>
            <w:r/>
            <w:r>
              <w:rPr>
                <w:rFonts w:ascii="Calibri" w:hAnsi="Calibri"/>
                <w:b/>
                <w:color w:val="28251D"/>
                <w:sz w:val="21"/>
              </w:rPr>
              <w:t>Recall (acha vinhos bons)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color w:val="28251D"/>
                <w:sz w:val="21"/>
              </w:rPr>
              <w:t>Random Forest (escolhido)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color w:val="28251D"/>
                <w:sz w:val="21"/>
              </w:rPr>
              <w:t>0,92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color w:val="28251D"/>
                <w:sz w:val="21"/>
              </w:rPr>
              <w:t>63%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color w:val="28251D"/>
                <w:sz w:val="21"/>
              </w:rPr>
              <w:t>SVM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color w:val="28251D"/>
                <w:sz w:val="21"/>
              </w:rPr>
              <w:t>0,90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color w:val="28251D"/>
                <w:sz w:val="21"/>
              </w:rPr>
              <w:t>44%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color w:val="28251D"/>
                <w:sz w:val="21"/>
              </w:rPr>
              <w:t>Gradient Boosting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color w:val="28251D"/>
                <w:sz w:val="21"/>
              </w:rPr>
              <w:t>0,89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color w:val="28251D"/>
                <w:sz w:val="21"/>
              </w:rPr>
              <w:t>44%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color w:val="28251D"/>
                <w:sz w:val="21"/>
              </w:rPr>
              <w:t>Regressão Logística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color w:val="28251D"/>
                <w:sz w:val="21"/>
              </w:rPr>
              <w:t>0,89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color w:val="28251D"/>
                <w:sz w:val="21"/>
              </w:rPr>
              <w:t>78%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color w:val="28251D"/>
                <w:sz w:val="21"/>
              </w:rPr>
              <w:t>Baseline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color w:val="28251D"/>
                <w:sz w:val="21"/>
              </w:rPr>
              <w:t>—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/>
                <w:b w:val="0"/>
                <w:color w:val="28251D"/>
                <w:sz w:val="21"/>
              </w:rPr>
              <w:t>0%</w:t>
            </w:r>
          </w:p>
        </w:tc>
      </w:tr>
    </w:tbl>
    <w:p/>
    <w:p>
      <w:pPr>
        <w:pStyle w:val="ListBullet"/>
        <w:spacing w:after="60"/>
        <w:ind w:left="283"/>
      </w:pPr>
      <w:r>
        <w:t>ROC-AUC de 0,92: a chance de o modelo ranquear corretamente um vinho bom</w:t>
      </w:r>
    </w:p>
    <w:p>
      <w:pPr>
        <w:spacing w:after="120"/>
      </w:pPr>
      <w:r>
        <w:rPr>
          <w:b w:val="0"/>
        </w:rPr>
        <w:t>acima de um ruim é de 92%.</w:t>
      </w:r>
    </w:p>
    <w:p>
      <w:pPr>
        <w:pStyle w:val="ListBullet"/>
        <w:spacing w:after="60"/>
        <w:ind w:left="283"/>
      </w:pPr>
      <w:r>
        <w:t>Todos os modelos superam largamente o baseline.</w:t>
      </w:r>
    </w:p>
    <w:p>
      <w:pPr>
        <w:jc w:val="center"/>
      </w:pPr>
      <w:r>
        <w:rPr>
          <w:color w:val="666666"/>
          <w:sz w:val="17"/>
        </w:rPr>
        <w:t>*(Figuras: figures/06_comparacao_modelos_auc.png, figures/08_curvas_roc.png)*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497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mparacao_modelos_au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49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7"/>
        </w:rPr>
        <w:t>06 comparacao modelos auc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706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urvas_ro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706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7"/>
        </w:rPr>
        <w:t>08 curvas roc</w:t>
      </w:r>
    </w:p>
    <w:p>
      <w:r>
        <w:br w:type="page"/>
      </w:r>
    </w:p>
    <w:p>
      <w:pPr>
        <w:pStyle w:val="Heading1"/>
      </w:pPr>
      <w:r>
        <w:t>Slide 8 — O Melhor Modelo: Random Forest</w:t>
      </w:r>
    </w:p>
    <w:p>
      <w:pPr>
        <w:spacing w:after="120"/>
        <w:pBdr>
          <w:bottom w:val="single" w:sz="8" w:space="1" w:color="01696F"/>
        </w:pBdr>
      </w:pPr>
    </w:p>
    <w:p>
      <w:pPr>
        <w:pStyle w:val="ListBullet"/>
        <w:spacing w:after="60"/>
        <w:ind w:left="283"/>
      </w:pPr>
      <w:r>
        <w:t>Melhor equilíbrio geral (ROC-AUC = 0,92).</w:t>
      </w:r>
    </w:p>
    <w:p>
      <w:pPr>
        <w:pStyle w:val="ListBullet"/>
        <w:spacing w:after="60"/>
        <w:ind w:left="283"/>
      </w:pPr>
      <w:r>
        <w:t>Identifica ~63% dos vinhos de alta qualidade no teste.</w:t>
      </w:r>
    </w:p>
    <w:p>
      <w:pPr>
        <w:pStyle w:val="ListBullet"/>
        <w:spacing w:after="60"/>
        <w:ind w:left="283"/>
      </w:pPr>
      <w:r>
        <w:t>Matriz de confusão mostra bom acerto na classe de interesse mesmo sendo rara.</w:t>
      </w:r>
    </w:p>
    <w:p>
      <w:pPr>
        <w:jc w:val="center"/>
      </w:pPr>
      <w:r>
        <w:rPr>
          <w:color w:val="666666"/>
          <w:sz w:val="17"/>
        </w:rPr>
        <w:t>*(Figura: figures/07_matriz_confusao_melhor_modelo.png)*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6217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atriz_confusao_melhor_model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621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7"/>
        </w:rPr>
        <w:t>07 matriz confusao melhor modelo</w:t>
      </w:r>
    </w:p>
    <w:p>
      <w:r>
        <w:br w:type="page"/>
      </w:r>
    </w:p>
    <w:p>
      <w:pPr>
        <w:pStyle w:val="Heading1"/>
      </w:pPr>
      <w:r>
        <w:t>Slide 9 — O que Move a Qualidade (Insights)</w:t>
      </w:r>
    </w:p>
    <w:p>
      <w:pPr>
        <w:spacing w:after="120"/>
        <w:pBdr>
          <w:bottom w:val="single" w:sz="8" w:space="1" w:color="01696F"/>
        </w:pBdr>
      </w:pPr>
    </w:p>
    <w:p>
      <w:pPr>
        <w:spacing w:after="120"/>
      </w:pPr>
      <w:r>
        <w:rPr>
          <w:b w:val="0"/>
        </w:rPr>
        <w:t>Fatores mais influentes segundo o modelo:</w:t>
      </w:r>
    </w:p>
    <w:p>
      <w:pPr>
        <w:pStyle w:val="ListNumber"/>
        <w:spacing w:after="60"/>
      </w:pPr>
      <w:r>
        <w:t>Teor alcoólico — o maior sinal de qualidade.</w:t>
      </w:r>
    </w:p>
    <w:p>
      <w:pPr>
        <w:pStyle w:val="ListNumber"/>
        <w:spacing w:after="60"/>
      </w:pPr>
      <w:r>
        <w:t>Acidez volátil — quanto menor, melhor.</w:t>
      </w:r>
    </w:p>
    <w:p>
      <w:pPr>
        <w:pStyle w:val="ListNumber"/>
        <w:spacing w:after="60"/>
      </w:pPr>
      <w:r>
        <w:t>Sulfatos — associados a vinhos melhor avaliados.</w:t>
      </w:r>
    </w:p>
    <w:p>
      <w:pPr>
        <w:pStyle w:val="ListNumber"/>
        <w:spacing w:after="60"/>
      </w:pPr>
      <w:r>
        <w:t>Ácido cítrico — contribui positivamente.</w:t>
      </w:r>
    </w:p>
    <w:p>
      <w:pPr>
        <w:spacing w:after="120"/>
      </w:pPr>
      <w:r>
        <w:rPr>
          <w:b/>
        </w:rPr>
        <w:t>Leitura de negócio:</w:t>
      </w:r>
      <w:r>
        <w:rPr>
          <w:b w:val="0"/>
        </w:rPr>
        <w:t xml:space="preserve"> o controle desses parâmetros na produção tem relação</w:t>
      </w:r>
    </w:p>
    <w:p>
      <w:pPr>
        <w:spacing w:after="120"/>
      </w:pPr>
      <w:r>
        <w:rPr>
          <w:b w:val="0"/>
        </w:rPr>
        <w:t>direta com a qualidade percebida.</w:t>
      </w:r>
    </w:p>
    <w:p>
      <w:pPr>
        <w:jc w:val="center"/>
      </w:pPr>
      <w:r>
        <w:rPr>
          <w:color w:val="666666"/>
          <w:sz w:val="17"/>
        </w:rPr>
        <w:t>*(Figura: figures/09_importancia_variaveis.png)*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5633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mportancia_variave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63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7"/>
        </w:rPr>
        <w:t>09 importancia variaveis</w:t>
      </w:r>
    </w:p>
    <w:p>
      <w:r>
        <w:br w:type="page"/>
      </w:r>
    </w:p>
    <w:p>
      <w:pPr>
        <w:pStyle w:val="Heading1"/>
      </w:pPr>
      <w:r>
        <w:t>Slide 10 — Riscos e Limitações</w:t>
      </w:r>
    </w:p>
    <w:p>
      <w:pPr>
        <w:spacing w:after="120"/>
        <w:pBdr>
          <w:bottom w:val="single" w:sz="8" w:space="1" w:color="01696F"/>
        </w:pBdr>
      </w:pPr>
    </w:p>
    <w:p>
      <w:pPr>
        <w:pStyle w:val="ListBullet"/>
        <w:spacing w:after="60"/>
        <w:ind w:left="283"/>
      </w:pPr>
      <w:r>
        <w:t>Desbalanceamento: poucos exemplos de vinhos excelentes limitam a precisão.</w:t>
      </w:r>
    </w:p>
    <w:p>
      <w:pPr>
        <w:pStyle w:val="ListBullet"/>
        <w:spacing w:after="60"/>
        <w:ind w:left="283"/>
      </w:pPr>
      <w:r>
        <w:t>Base de vinho tinto de uma origem — não generaliza automaticamente para</w:t>
      </w:r>
    </w:p>
    <w:p>
      <w:pPr>
        <w:spacing w:after="120"/>
      </w:pPr>
      <w:r>
        <w:rPr>
          <w:b w:val="0"/>
        </w:rPr>
        <w:t>vinho branco ou outras regiões.</w:t>
      </w:r>
    </w:p>
    <w:p>
      <w:pPr>
        <w:pStyle w:val="ListBullet"/>
        <w:spacing w:after="60"/>
        <w:ind w:left="283"/>
      </w:pPr>
      <w:r>
        <w:t>A qualidade sensorial tem componente subjetivo que nenhum dado físico-químico</w:t>
      </w:r>
    </w:p>
    <w:p>
      <w:pPr>
        <w:spacing w:after="120"/>
      </w:pPr>
      <w:r>
        <w:rPr>
          <w:b w:val="0"/>
        </w:rPr>
        <w:t>captura totalmente.</w:t>
      </w:r>
    </w:p>
    <w:p>
      <w:pPr>
        <w:pStyle w:val="ListBullet"/>
        <w:spacing w:after="60"/>
        <w:ind w:left="283"/>
      </w:pPr>
      <w:r>
        <w:t>O modelo apoia, não substitui, o especialista.</w:t>
      </w:r>
    </w:p>
    <w:p>
      <w:r>
        <w:br w:type="page"/>
      </w:r>
    </w:p>
    <w:p>
      <w:pPr>
        <w:pStyle w:val="Heading1"/>
      </w:pPr>
      <w:r>
        <w:t>Slide 11 — Recomendação Final</w:t>
      </w:r>
    </w:p>
    <w:p>
      <w:pPr>
        <w:spacing w:after="120"/>
        <w:pBdr>
          <w:bottom w:val="single" w:sz="8" w:space="1" w:color="01696F"/>
        </w:pBdr>
      </w:pPr>
    </w:p>
    <w:p>
      <w:pPr>
        <w:pStyle w:val="ListBullet"/>
        <w:spacing w:after="60"/>
        <w:ind w:left="283"/>
      </w:pPr>
      <w:r>
        <w:t>Adotar o modelo como triador automático de lotes: sinaliza os candidatos a</w:t>
      </w:r>
    </w:p>
    <w:p>
      <w:pPr>
        <w:spacing w:after="120"/>
      </w:pPr>
      <w:r>
        <w:rPr>
          <w:b w:val="0"/>
        </w:rPr>
        <w:t>alta qualidade para inspeção prioritária.</w:t>
      </w:r>
    </w:p>
    <w:p>
      <w:pPr>
        <w:pStyle w:val="ListBullet"/>
        <w:spacing w:after="60"/>
        <w:ind w:left="283"/>
      </w:pPr>
      <w:r>
        <w:t>Ganho: foco do enólogo nos casos que mais importam e padronização do</w:t>
      </w:r>
    </w:p>
    <w:p>
      <w:pPr>
        <w:spacing w:after="120"/>
      </w:pPr>
      <w:r>
        <w:rPr>
          <w:b w:val="0"/>
        </w:rPr>
        <w:t>controle de qualidade.</w:t>
      </w:r>
    </w:p>
    <w:p>
      <w:pPr>
        <w:pStyle w:val="ListBullet"/>
        <w:spacing w:after="60"/>
        <w:ind w:left="283"/>
      </w:pPr>
      <w:r>
        <w:t>Próximos passos: coletar mais amostras de alta qualidade, calibrar o ponto</w:t>
      </w:r>
    </w:p>
    <w:p>
      <w:pPr>
        <w:spacing w:after="120"/>
      </w:pPr>
      <w:r>
        <w:rPr>
          <w:b w:val="0"/>
        </w:rPr>
        <w:t>de corte conforme o custo do erro e estender ao vinho branco.</w:t>
      </w:r>
    </w:p>
    <w:p>
      <w:r>
        <w:br w:type="page"/>
      </w:r>
    </w:p>
    <w:p>
      <w:pPr>
        <w:pStyle w:val="Heading1"/>
      </w:pPr>
      <w:r>
        <w:t>Slide 12 — Obrigado</w:t>
      </w:r>
    </w:p>
    <w:p>
      <w:pPr>
        <w:spacing w:after="120"/>
        <w:pBdr>
          <w:bottom w:val="single" w:sz="8" w:space="1" w:color="01696F"/>
        </w:pBdr>
      </w:pPr>
    </w:p>
    <w:p>
      <w:pPr>
        <w:spacing w:after="120"/>
      </w:pPr>
      <w:r>
        <w:rPr>
          <w:b w:val="0"/>
        </w:rPr>
        <w:t>Perguntas?</w:t>
      </w:r>
    </w:p>
    <w:p>
      <w:pPr>
        <w:spacing w:after="120"/>
      </w:pPr>
      <w:r>
        <w:rPr>
          <w:b w:val="0"/>
        </w:rPr>
        <w:t>Repositório com código, notebook e relatório técnico completos.</w:t>
      </w:r>
    </w:p>
    <w:sectPr w:rsidR="00FC693F" w:rsidRPr="0006063C" w:rsidSect="00034616"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5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1696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8251D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8251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1696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Apresentação Executiva — Tech Challenge Wine Quality</dc:title>
  <dc:subject>PósTech FIAP Data Analytics — Fase 2</dc:subject>
  <dc:creator>Bruno Ricardo de Oliveira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