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6979"/>
      </w:tblGrid>
      <w:tr>
        <w:tc>
          <w:tcPr>
            <w:tcW w:type="dxa" w:w="2381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96800" cy="3901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CODEB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800" cy="390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79"/>
          </w:tcPr>
          <w:p>
            <w:pPr>
              <w:jc w:val="right"/>
            </w:pPr>
            <w:r>
              <w:rPr>
                <w:color w:val="475569"/>
                <w:sz w:val="22"/>
              </w:rPr>
              <w:t>POP – Procedimento Operacional Padrão</w:t>
              <w:br/>
            </w:r>
            <w:r>
              <w:rPr>
                <w:b/>
                <w:color w:val="1F4E79"/>
                <w:sz w:val="26"/>
              </w:rPr>
              <w:t>PROSPECÇÃO E FECHAMENTO COMERCIAL DE NOVAS CARGAS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9"/>
        <w:gridCol w:w="3214"/>
        <w:gridCol w:w="1599"/>
        <w:gridCol w:w="2948"/>
      </w:tblGrid>
      <w:tr>
        <w:tc>
          <w:tcPr>
            <w:tcW w:type="dxa" w:w="1599"/>
            <w:shd w:val="clear" w:color="auto" w:fill="F2F2F2"/>
          </w:tcPr>
          <w:p>
            <w:r/>
            <w:r>
              <w:rPr>
                <w:b/>
                <w:color w:val="1E293B"/>
                <w:sz w:val="18"/>
              </w:rPr>
              <w:t>Código</w:t>
            </w:r>
          </w:p>
        </w:tc>
        <w:tc>
          <w:tcPr>
            <w:tcW w:type="dxa" w:w="3214"/>
          </w:tcPr>
          <w:p>
            <w:r>
              <w:t>POP-COM-001</w:t>
            </w:r>
          </w:p>
        </w:tc>
        <w:tc>
          <w:tcPr>
            <w:tcW w:type="dxa" w:w="1599"/>
            <w:shd w:val="clear" w:color="auto" w:fill="F2F2F2"/>
          </w:tcPr>
          <w:p>
            <w:r/>
            <w:r>
              <w:rPr>
                <w:b/>
                <w:color w:val="1E293B"/>
                <w:sz w:val="18"/>
              </w:rPr>
              <w:t>Versão</w:t>
            </w:r>
          </w:p>
        </w:tc>
        <w:tc>
          <w:tcPr>
            <w:tcW w:type="dxa" w:w="2948"/>
          </w:tcPr>
          <w:p>
            <w:r>
              <w:t>01</w:t>
            </w:r>
          </w:p>
        </w:tc>
      </w:tr>
      <w:tr>
        <w:tc>
          <w:tcPr>
            <w:tcW w:type="dxa" w:w="1599"/>
            <w:shd w:val="clear" w:color="auto" w:fill="F2F2F2"/>
          </w:tcPr>
          <w:p>
            <w:r/>
            <w:r>
              <w:rPr>
                <w:b/>
                <w:color w:val="1E293B"/>
                <w:sz w:val="18"/>
              </w:rPr>
              <w:t>Data</w:t>
            </w:r>
          </w:p>
        </w:tc>
        <w:tc>
          <w:tcPr>
            <w:tcW w:type="dxa" w:w="3214"/>
          </w:tcPr>
          <w:p>
            <w:r>
              <w:t>20/08/2026</w:t>
            </w:r>
          </w:p>
        </w:tc>
        <w:tc>
          <w:tcPr>
            <w:tcW w:type="dxa" w:w="1599"/>
            <w:shd w:val="clear" w:color="auto" w:fill="F2F2F2"/>
          </w:tcPr>
          <w:p>
            <w:r/>
            <w:r>
              <w:rPr>
                <w:b/>
                <w:color w:val="1E293B"/>
                <w:sz w:val="18"/>
              </w:rPr>
              <w:t>Área</w:t>
            </w:r>
          </w:p>
        </w:tc>
        <w:tc>
          <w:tcPr>
            <w:tcW w:type="dxa" w:w="2948"/>
          </w:tcPr>
          <w:p>
            <w:r>
              <w:t>DESENVOLVIMENTO DE NEGÓCIOS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7"/>
        <w:gridCol w:w="1400"/>
        <w:gridCol w:w="5261"/>
        <w:gridCol w:w="2001"/>
      </w:tblGrid>
      <w:tr>
        <w:tc>
          <w:tcPr>
            <w:tcW w:type="dxa" w:w="697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Rev.</w:t>
            </w:r>
          </w:p>
        </w:tc>
        <w:tc>
          <w:tcPr>
            <w:tcW w:type="dxa" w:w="140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526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Histórico de Revisões</w:t>
            </w:r>
          </w:p>
        </w:tc>
        <w:tc>
          <w:tcPr>
            <w:tcW w:type="dxa" w:w="200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Responsável</w:t>
            </w:r>
          </w:p>
        </w:tc>
      </w:tr>
      <w:tr>
        <w:tc>
          <w:tcPr>
            <w:tcW w:type="dxa" w:w="697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t>19/08/2026</w:t>
            </w:r>
          </w:p>
        </w:tc>
        <w:tc>
          <w:tcPr>
            <w:tcW w:type="dxa" w:w="5261"/>
          </w:tcPr>
          <w:p>
            <w:r>
              <w:t>Emissão inicial. Documento proposto para padronizar prospecção e fechamento comercial de novas cargas para o Porto de Ilhéus.</w:t>
            </w:r>
          </w:p>
        </w:tc>
        <w:tc>
          <w:tcPr>
            <w:tcW w:type="dxa" w:w="2002"/>
          </w:tcPr>
          <w:p>
            <w:r>
              <w:t>Bruno Santos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1"/>
        <w:gridCol w:w="1879"/>
        <w:gridCol w:w="2801"/>
        <w:gridCol w:w="1879"/>
      </w:tblGrid>
      <w:tr>
        <w:tc>
          <w:tcPr>
            <w:tcW w:type="dxa" w:w="28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Elaborado por</w:t>
            </w:r>
          </w:p>
        </w:tc>
        <w:tc>
          <w:tcPr>
            <w:tcW w:type="dxa" w:w="187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Cargo</w:t>
            </w:r>
          </w:p>
        </w:tc>
        <w:tc>
          <w:tcPr>
            <w:tcW w:type="dxa" w:w="28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Aprovado por</w:t>
            </w:r>
          </w:p>
        </w:tc>
        <w:tc>
          <w:tcPr>
            <w:tcW w:type="dxa" w:w="187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Cargo</w:t>
            </w:r>
          </w:p>
        </w:tc>
      </w:tr>
      <w:tr>
        <w:tc>
          <w:tcPr>
            <w:tcW w:type="dxa" w:w="2801"/>
          </w:tcPr>
          <w:p>
            <w:r>
              <w:t>Bruno Santos</w:t>
            </w:r>
          </w:p>
        </w:tc>
        <w:tc>
          <w:tcPr>
            <w:tcW w:type="dxa" w:w="1879"/>
          </w:tcPr>
          <w:p>
            <w:r>
              <w:t>TPO - Fiscalização</w:t>
            </w:r>
          </w:p>
        </w:tc>
        <w:tc>
          <w:tcPr>
            <w:tcW w:type="dxa" w:w="2801"/>
          </w:tcPr>
          <w:p>
            <w:r>
              <w:t>[a preencher]</w:t>
            </w:r>
          </w:p>
        </w:tc>
        <w:tc>
          <w:tcPr>
            <w:tcW w:type="dxa" w:w="1879"/>
          </w:tcPr>
          <w:p>
            <w:r>
              <w:t>[a preencher]</w:t>
            </w:r>
          </w:p>
        </w:tc>
      </w:tr>
    </w:tbl>
    <w:p/>
    <w:p>
      <w:pPr>
        <w:keepNext/>
        <w:spacing w:before="160" w:after="60"/>
      </w:pPr>
      <w:r>
        <w:rPr>
          <w:b/>
          <w:color w:val="1F4E79"/>
          <w:sz w:val="24"/>
        </w:rPr>
        <w:t>1.  Objetivo</w:t>
      </w:r>
    </w:p>
    <w:p>
      <w:r>
        <w:rPr>
          <w:b w:val="0"/>
          <w:i w:val="0"/>
        </w:rPr>
        <w:t>Padronizar a prospecção, qualificação, análise, negociação e fechamento comercial de novas cargas para o Porto de Ilhéus, garantindo rastreabilidade da oportunidade, segregação de responsabilidades, validação técnica e conversão do cliente em primeira operação.</w:t>
      </w:r>
    </w:p>
    <w:p>
      <w:pPr>
        <w:keepNext/>
        <w:spacing w:before="160" w:after="60"/>
      </w:pPr>
      <w:r>
        <w:rPr>
          <w:b/>
          <w:color w:val="1F4E79"/>
          <w:sz w:val="24"/>
        </w:rPr>
        <w:t>2.  Campo de Aplicação</w:t>
      </w:r>
    </w:p>
    <w:p>
      <w:r>
        <w:rPr>
          <w:b w:val="0"/>
          <w:i w:val="0"/>
        </w:rPr>
        <w:t>Aplica-se à CODEBA, à área de desenvolvimento de negócios, à administração portuária, aos operadores portuários, terminais, armazenadores, armadores, agentes marítimos, transportadores, despachantes e demais integrantes da comunidade portuária envolvidos na atração de cargas.</w:t>
      </w:r>
    </w:p>
    <w:p>
      <w:pPr>
        <w:keepNext/>
        <w:spacing w:before="160" w:after="60"/>
      </w:pPr>
      <w:r>
        <w:rPr>
          <w:b/>
          <w:color w:val="1F4E79"/>
          <w:sz w:val="24"/>
        </w:rPr>
        <w:t>3.  Pré-condições</w:t>
      </w:r>
    </w:p>
    <w:p>
      <w:r>
        <w:rPr>
          <w:b w:val="0"/>
          <w:i w:val="0"/>
        </w:rPr>
        <w:t>Antes de iniciar uma oportunidade, deve existir uma carga-alvo ou corredor logístico identificável, uma pessoa ou organização potencialmente responsável pelo volume e disponibilidade de uma equipe para levantar dados comerciais e operacionais.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2CC"/>
          </w:tcPr>
          <w:p>
            <w:r/>
            <w:r>
              <w:rPr>
                <w:b/>
                <w:i w:val="0"/>
              </w:rPr>
              <w:t>■ ATENÇÃO: DOCUMENTO PROPOSTO PARA VALIDAÇÃO — não substitui normas da CODEBA, contratos, tarifas publicadas, procedimentos aduaneiros ou aprovações formais da autoridade portuária.</w:t>
            </w:r>
          </w:p>
        </w:tc>
      </w:tr>
    </w:tbl>
    <w:p/>
    <w:p>
      <w:pPr>
        <w:keepNext/>
        <w:spacing w:before="160" w:after="60"/>
      </w:pPr>
      <w:r>
        <w:rPr>
          <w:b/>
          <w:color w:val="1F4E79"/>
          <w:sz w:val="24"/>
        </w:rPr>
        <w:t>4.  Definições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6866"/>
      </w:tblGrid>
      <w:tr>
        <w:tc>
          <w:tcPr>
            <w:tcW w:type="dxa" w:w="249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Termo</w:t>
            </w:r>
          </w:p>
        </w:tc>
        <w:tc>
          <w:tcPr>
            <w:tcW w:type="dxa" w:w="686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i w:val="0"/>
              </w:rPr>
              <w:t>Lead</w:t>
            </w:r>
          </w:p>
        </w:tc>
        <w:tc>
          <w:tcPr>
            <w:tcW w:type="dxa" w:w="6866"/>
          </w:tcPr>
          <w:p>
            <w:r>
              <w:rPr>
                <w:b w:val="0"/>
                <w:i w:val="0"/>
              </w:rPr>
              <w:t>Empresa ou contato ainda não qualificado como oportunidade.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i w:val="0"/>
              </w:rPr>
              <w:t>Oportunidade</w:t>
            </w:r>
          </w:p>
        </w:tc>
        <w:tc>
          <w:tcPr>
            <w:tcW w:type="dxa" w:w="6866"/>
          </w:tcPr>
          <w:p>
            <w:r>
              <w:rPr>
                <w:b w:val="0"/>
                <w:i w:val="0"/>
              </w:rPr>
              <w:t>Lead com carga, volume e hipótese de utilização do Porto de Ilhéus.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i w:val="0"/>
              </w:rPr>
              <w:t>Dono da carga</w:t>
            </w:r>
          </w:p>
        </w:tc>
        <w:tc>
          <w:tcPr>
            <w:tcW w:type="dxa" w:w="6866"/>
          </w:tcPr>
          <w:p>
            <w:r>
              <w:rPr>
                <w:b w:val="0"/>
                <w:i w:val="0"/>
              </w:rPr>
              <w:t>Produtor, cooperativa, trading, indústria, importador ou exportador que controla o volume ou a decisão.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i w:val="0"/>
              </w:rPr>
              <w:t>Term sheet</w:t>
            </w:r>
          </w:p>
        </w:tc>
        <w:tc>
          <w:tcPr>
            <w:tcW w:type="dxa" w:w="6866"/>
          </w:tcPr>
          <w:p>
            <w:r>
              <w:rPr>
                <w:b w:val="0"/>
                <w:i w:val="0"/>
              </w:rPr>
              <w:t>Documento preliminar que consolida condições comerciais antes do contrato definitivo.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i w:val="0"/>
              </w:rPr>
              <w:t>Primeira operação</w:t>
            </w:r>
          </w:p>
        </w:tc>
        <w:tc>
          <w:tcPr>
            <w:tcW w:type="dxa" w:w="6866"/>
          </w:tcPr>
          <w:p>
            <w:r>
              <w:rPr>
                <w:b w:val="0"/>
                <w:i w:val="0"/>
              </w:rPr>
              <w:t>Primeiro embarque ou desembarque realizado após o compromisso comercial.</w:t>
            </w:r>
          </w:p>
        </w:tc>
      </w:tr>
    </w:tbl>
    <w:p/>
    <w:p>
      <w:pPr>
        <w:keepNext/>
        <w:spacing w:before="160" w:after="60"/>
      </w:pPr>
      <w:r>
        <w:rPr>
          <w:b/>
          <w:color w:val="1F4E79"/>
          <w:sz w:val="24"/>
        </w:rPr>
        <w:t>5.  Matriz de Responsabilidades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2608"/>
        <w:gridCol w:w="3175"/>
        <w:gridCol w:w="2494"/>
      </w:tblGrid>
      <w:tr>
        <w:tc>
          <w:tcPr>
            <w:tcW w:type="dxa" w:w="79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Registro</w:t>
            </w:r>
          </w:p>
        </w:tc>
        <w:tc>
          <w:tcPr>
            <w:tcW w:type="dxa" w:w="317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Atividade</w:t>
            </w:r>
          </w:p>
        </w:tc>
        <w:tc>
          <w:tcPr>
            <w:tcW w:type="dxa" w:w="2783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Responsável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2608"/>
          </w:tcPr>
          <w:p>
            <w:r>
              <w:rPr>
                <w:b w:val="0"/>
                <w:i w:val="0"/>
              </w:rPr>
              <w:t>Ficha de oportunidade</w:t>
            </w:r>
          </w:p>
        </w:tc>
        <w:tc>
          <w:tcPr>
            <w:tcW w:type="dxa" w:w="3175"/>
          </w:tcPr>
          <w:p>
            <w:r>
              <w:rPr>
                <w:b w:val="0"/>
                <w:i w:val="0"/>
              </w:rPr>
              <w:t>Criar e registrar cliente, carga e próximo compromisso</w:t>
            </w:r>
          </w:p>
        </w:tc>
        <w:tc>
          <w:tcPr>
            <w:tcW w:type="dxa" w:w="2783"/>
          </w:tcPr>
          <w:p>
            <w:r>
              <w:rPr>
                <w:b w:val="0"/>
                <w:i w:val="0"/>
              </w:rPr>
              <w:t>Comercial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2608"/>
          </w:tcPr>
          <w:p>
            <w:r>
              <w:rPr>
                <w:b w:val="0"/>
                <w:i w:val="0"/>
              </w:rPr>
              <w:t>Avaliação comercial</w:t>
            </w:r>
          </w:p>
        </w:tc>
        <w:tc>
          <w:tcPr>
            <w:tcW w:type="dxa" w:w="3175"/>
          </w:tcPr>
          <w:p>
            <w:r>
              <w:rPr>
                <w:b w:val="0"/>
                <w:i w:val="0"/>
              </w:rPr>
              <w:t>Avaliar viabilidade, risco, tarifa e liberação para proposta</w:t>
            </w:r>
          </w:p>
        </w:tc>
        <w:tc>
          <w:tcPr>
            <w:tcW w:type="dxa" w:w="2783"/>
          </w:tcPr>
          <w:p>
            <w:r>
              <w:rPr>
                <w:b w:val="0"/>
                <w:i w:val="0"/>
              </w:rPr>
              <w:t>Comitê comercial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2608"/>
          </w:tcPr>
          <w:p>
            <w:r>
              <w:rPr>
                <w:b w:val="0"/>
                <w:i w:val="0"/>
              </w:rPr>
              <w:t>Proposta/term sheet</w:t>
            </w:r>
          </w:p>
        </w:tc>
        <w:tc>
          <w:tcPr>
            <w:tcW w:type="dxa" w:w="3175"/>
          </w:tcPr>
          <w:p>
            <w:r>
              <w:rPr>
                <w:b w:val="0"/>
                <w:i w:val="0"/>
              </w:rPr>
              <w:t>Negociar condições e formalizar compromisso</w:t>
            </w:r>
          </w:p>
        </w:tc>
        <w:tc>
          <w:tcPr>
            <w:tcW w:type="dxa" w:w="2783"/>
          </w:tcPr>
          <w:p>
            <w:r>
              <w:rPr>
                <w:b w:val="0"/>
                <w:i w:val="0"/>
              </w:rPr>
              <w:t>Diretoria + Jurídico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2608"/>
          </w:tcPr>
          <w:p>
            <w:r>
              <w:rPr>
                <w:b w:val="0"/>
                <w:i w:val="0"/>
              </w:rPr>
              <w:t>Primeira operação</w:t>
            </w:r>
          </w:p>
        </w:tc>
        <w:tc>
          <w:tcPr>
            <w:tcW w:type="dxa" w:w="3175"/>
          </w:tcPr>
          <w:p>
            <w:r>
              <w:rPr>
                <w:b w:val="0"/>
                <w:i w:val="0"/>
              </w:rPr>
              <w:t>Programar e acompanhar a primeira carga</w:t>
            </w:r>
          </w:p>
        </w:tc>
        <w:tc>
          <w:tcPr>
            <w:tcW w:type="dxa" w:w="2783"/>
          </w:tcPr>
          <w:p>
            <w:r>
              <w:rPr>
                <w:b w:val="0"/>
                <w:i w:val="0"/>
              </w:rPr>
              <w:t>Comunidade portuária</w:t>
            </w:r>
          </w:p>
        </w:tc>
      </w:tr>
    </w:tbl>
    <w:p/>
    <w:p>
      <w:pPr>
        <w:keepNext/>
        <w:spacing w:before="160" w:after="60"/>
      </w:pPr>
      <w:r>
        <w:rPr>
          <w:b/>
          <w:color w:val="1F4E79"/>
          <w:sz w:val="24"/>
        </w:rPr>
        <w:t>6.  Procedimento</w:t>
      </w:r>
    </w:p>
    <w:p>
      <w:pPr>
        <w:keepNext/>
        <w:spacing w:before="120" w:after="40"/>
      </w:pPr>
      <w:r>
        <w:rPr>
          <w:b/>
          <w:color w:val="1F4E79"/>
          <w:sz w:val="22"/>
        </w:rPr>
        <w:t>6.1 Etapa 1 — Seleção da carga-alvo e preparação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01"/>
        <w:gridCol w:w="1814"/>
        <w:gridCol w:w="6945"/>
      </w:tblGrid>
      <w:tr>
        <w:tc>
          <w:tcPr>
            <w:tcW w:type="dxa" w:w="6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694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Passo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Comercial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Selecionar o corredor ou produto prioritário: milho, soja, cacau, amêndoas, óxido de magnésio, concentrado de níquel, peças industrializadas ou carga geral.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Comercial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Definir a hipótese de valor para Ilhéus: proximidade da origem/destino, redução de custo, disponibilidade de berço, armazenagem, frequência ou alternativa a portos concorrentes.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Comercial + Logística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Levantar dados preliminares de origem, destino, volume anual, volume por embarque, sazonalidade, frequência, modal terrestre, embalagem e tipo de navegação.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Gestor comercial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Abrir a oportunidade com identificador único e registrar data, origem do lead, produto, estimativa de volume e próximo passo.</w:t>
            </w:r>
          </w:p>
        </w:tc>
      </w:tr>
    </w:tbl>
    <w:p/>
    <w:p>
      <w:pPr>
        <w:keepNext/>
        <w:spacing w:before="120" w:after="40"/>
      </w:pPr>
      <w:r>
        <w:rPr>
          <w:b/>
          <w:color w:val="1F4E79"/>
          <w:sz w:val="22"/>
        </w:rPr>
        <w:t>6.2 Etapa 2 — Identificação e primeiro contato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01"/>
        <w:gridCol w:w="1814"/>
        <w:gridCol w:w="6945"/>
      </w:tblGrid>
      <w:tr>
        <w:tc>
          <w:tcPr>
            <w:tcW w:type="dxa" w:w="6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694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Passo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Comercial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Identificar o dono da carga e o decisor: produtor, cooperativa, trading, indústria, importador, exportador ou operador logístico.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Comercial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Registrar razão social, segmento, pessoa de contato, cargo, telefone, e-mail, localização, origem do relacionamento e poder de decisão.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Comercial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Realizar contato inicial com uma mensagem objetiva: entender o corredor logístico, apresentar Ilhéus como alternativa e solicitar autorização para enviar o formulário de qualificação.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Comercial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Enviar o questionário de carga e agendar reunião de descoberta com o decisor e, quando possível, com logística, comércio exterior e suprimentos.</w:t>
            </w:r>
          </w:p>
        </w:tc>
      </w:tr>
    </w:tbl>
    <w:p/>
    <w:p>
      <w:pPr>
        <w:keepNext/>
        <w:spacing w:before="120" w:after="40"/>
      </w:pPr>
      <w:r>
        <w:rPr>
          <w:b/>
          <w:color w:val="1F4E79"/>
          <w:sz w:val="22"/>
        </w:rPr>
        <w:t>6.3 Etapa 3 — Qualificação da oportunidade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01"/>
        <w:gridCol w:w="1814"/>
        <w:gridCol w:w="6945"/>
      </w:tblGrid>
      <w:tr>
        <w:tc>
          <w:tcPr>
            <w:tcW w:type="dxa" w:w="6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694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Passo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Comercial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Confirmar produto, classificação, quantidade anual, quantidade por navio/caminhão, meses de pico, origem, destino e frequência.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Logística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Confirmar condição de venda, transporte até o porto, distância, modal, necessidade de transbordo, armazenagem, silo, pátio, contêiner ou carga a granel.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Comercial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Mapear portos concorrentes, custo atual, motivo para mudança, prazo de decisão, orçamento e critérios de escolha.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Gestor comercial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Classificar a oportunidade como descartada, mapeada, qualificada, em estudo, em proposta ou em compromisso; registrar probabilidade e valor potencial.</w:t>
            </w:r>
          </w:p>
        </w:tc>
      </w:tr>
    </w:tbl>
    <w:p/>
    <w:p>
      <w:pPr>
        <w:keepNext/>
        <w:spacing w:before="120" w:after="40"/>
      </w:pPr>
      <w:r>
        <w:rPr>
          <w:b/>
          <w:color w:val="1F4E79"/>
          <w:sz w:val="22"/>
        </w:rPr>
        <w:t>6.4 Etapa 4 — Estudo de viabilidade técnico-comercial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01"/>
        <w:gridCol w:w="1814"/>
        <w:gridCol w:w="6945"/>
      </w:tblGrid>
      <w:tr>
        <w:tc>
          <w:tcPr>
            <w:tcW w:type="dxa" w:w="6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694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Passo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Comercial + CODEBA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Solicitar validação de disponibilidade de área, berço, janela, regras de acesso, programação e condições institucionais.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Operador portuário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Avaliar equipamentos, mão de obra, produtividade, recebimento, carregamento/descarregamento, segregação, armazenagem e limitações operacionais.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Armador/agente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Avaliar tipo e porte de navio, calado, janela marítima, frequência, frete, disponibilidade e condições para primeira escala.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Logística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Calcular transporte terrestre, armazenagem, seguro, demurrage/detention, taxas, perdas, tempo de ciclo e custo total porta-a-porto.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Comitê comercial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Emitir parecer com viabilidade, pendências, investimentos necessários, riscos, premissas e recomendação: avançar, ajustar ou encerrar.</w:t>
            </w:r>
          </w:p>
        </w:tc>
      </w:tr>
    </w:tbl>
    <w:p/>
    <w:p>
      <w:pPr>
        <w:keepNext/>
        <w:spacing w:before="120" w:after="40"/>
      </w:pPr>
      <w:r>
        <w:rPr>
          <w:b/>
          <w:color w:val="1F4E79"/>
          <w:sz w:val="22"/>
        </w:rPr>
        <w:t>6.5 Etapa 5 — Proposta comercial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01"/>
        <w:gridCol w:w="1814"/>
        <w:gridCol w:w="6945"/>
      </w:tblGrid>
      <w:tr>
        <w:tc>
          <w:tcPr>
            <w:tcW w:type="dxa" w:w="6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694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Passo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Comercial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Preparar proposta com escopo, volume, frequência, preço/tarifa, capacidade, janela, armazenagem, responsabilidades, SLA, premissas e validade.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Operador + CODEBA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Validar tecnicamente as condições antes do envio ao cliente, evitando prometer capacidade, tarifa ou prazo sem confirmação.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Comercial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Apresentar a proposta ao decisor e registrar objeções, concorrentes, condições solicitadas e data do próximo compromisso.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Diretoria comercial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Aprovar descontos, incentivos, investimentos, exclusividade, compromissos mínimos e demais condições fora da alçada do gestor.</w:t>
            </w:r>
          </w:p>
        </w:tc>
      </w:tr>
    </w:tbl>
    <w:p/>
    <w:p>
      <w:pPr>
        <w:keepNext/>
        <w:spacing w:before="120" w:after="40"/>
      </w:pPr>
      <w:r>
        <w:rPr>
          <w:b/>
          <w:color w:val="1F4E79"/>
          <w:sz w:val="22"/>
        </w:rPr>
        <w:t>6.6 Etapa 6 — Negociação e compromisso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01"/>
        <w:gridCol w:w="1814"/>
        <w:gridCol w:w="6945"/>
      </w:tblGrid>
      <w:tr>
        <w:tc>
          <w:tcPr>
            <w:tcW w:type="dxa" w:w="6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694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Passo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Comercial + Jurídico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Definir o instrumento adequado: NDA, carta de intenção, term sheet, reserva de capacidade, contrato de volume, contrato de operação ou outro documento aplicável.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Comercial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Conferir se o documento contém volume, prazo, preço, responsabilidades, condições de cancelamento, força maior, indicadores, primeira janela e critérios de renovação.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Diretoria + Cliente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Aprovar e assinar o compromisso, registrando a versão final e os responsáveis por cada obrigação.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Gestor comercial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Alterar o status para “Compromisso” somente após receber evidência documental do aceite ou assinatura.</w:t>
            </w:r>
          </w:p>
        </w:tc>
      </w:tr>
    </w:tbl>
    <w:p/>
    <w:p>
      <w:pPr>
        <w:keepNext/>
        <w:spacing w:before="120" w:after="40"/>
      </w:pPr>
      <w:r>
        <w:rPr>
          <w:b/>
          <w:color w:val="1F4E79"/>
          <w:sz w:val="22"/>
        </w:rPr>
        <w:t>6.7 Etapa 7 — Preparação da primeira operação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01"/>
        <w:gridCol w:w="1814"/>
        <w:gridCol w:w="6945"/>
      </w:tblGrid>
      <w:tr>
        <w:tc>
          <w:tcPr>
            <w:tcW w:type="dxa" w:w="6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694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Passo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Gestor comercial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Realizar reunião de transição com cliente, CODEBA, operador, armazenador, armador, agente e transportador.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Operador + Armador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Confirmar navio, janela, berço, produtividade, sequência de operação, documentos e plano de contingência.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Cliente + Logística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Confirmar origem da carga, transportadores, programação terrestre, documentação comercial, aduaneira e requisitos de qualidade.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Comunidade portuária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Executar cadastros, autorizações de acesso, recebimento, armazenagem, carregamento/descarregamento e demais controles aplicáveis.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Gestor comercial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Acompanhar a primeira operação até a conclusão e registrar incidentes, custos, atrasos e desvios.</w:t>
            </w:r>
          </w:p>
        </w:tc>
      </w:tr>
    </w:tbl>
    <w:p/>
    <w:p>
      <w:pPr>
        <w:keepNext/>
        <w:spacing w:before="120" w:after="40"/>
      </w:pPr>
      <w:r>
        <w:rPr>
          <w:b/>
          <w:color w:val="1F4E79"/>
          <w:sz w:val="22"/>
        </w:rPr>
        <w:t>6.8 Etapa 8 — Encerramento e recorrência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01"/>
        <w:gridCol w:w="1814"/>
        <w:gridCol w:w="6945"/>
      </w:tblGrid>
      <w:tr>
        <w:tc>
          <w:tcPr>
            <w:tcW w:type="dxa" w:w="6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694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Passo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Gestor comercial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Comparar o resultado real com a proposta: volume, tempo, produtividade, custo, nível de serviço e satisfação do cliente.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Comercial + Operação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Registrar lições aprendidas, causas de desvio, ações corretivas e responsáveis.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Comercial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Solicitar previsão de próximos volumes e negociar calendário recorrente.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</w:rPr>
              <w:t>Gestor comercial</w:t>
            </w:r>
          </w:p>
        </w:tc>
        <w:tc>
          <w:tcPr>
            <w:tcW w:type="dxa" w:w="6945"/>
          </w:tcPr>
          <w:p>
            <w:r>
              <w:rPr>
                <w:b w:val="0"/>
                <w:i w:val="0"/>
              </w:rPr>
              <w:t>Encerrar a oportunidade como convertida somente quando houver primeira operação concluída e plano de recorrência ou renovação.</w:t>
            </w:r>
          </w:p>
        </w:tc>
      </w:tr>
    </w:tbl>
    <w:p/>
    <w:p>
      <w:pPr>
        <w:keepNext/>
        <w:spacing w:before="160" w:after="60"/>
      </w:pPr>
      <w:r>
        <w:rPr>
          <w:b/>
          <w:color w:val="1F4E79"/>
          <w:sz w:val="24"/>
        </w:rPr>
        <w:t>7.  Registros obrigatórios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4825"/>
        <w:gridCol w:w="2041"/>
      </w:tblGrid>
      <w:tr>
        <w:tc>
          <w:tcPr>
            <w:tcW w:type="dxa" w:w="249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Registro</w:t>
            </w:r>
          </w:p>
        </w:tc>
        <w:tc>
          <w:tcPr>
            <w:tcW w:type="dxa" w:w="482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Conteúdo mínimo</w:t>
            </w:r>
          </w:p>
        </w:tc>
        <w:tc>
          <w:tcPr>
            <w:tcW w:type="dxa" w:w="204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Responsável</w:t>
            </w:r>
          </w:p>
        </w:tc>
      </w:tr>
      <w:tr>
        <w:tc>
          <w:tcPr>
            <w:tcW w:type="dxa" w:w="2494"/>
          </w:tcPr>
          <w:p>
            <w:r>
              <w:rPr>
                <w:b w:val="0"/>
                <w:i w:val="0"/>
              </w:rPr>
              <w:t>Ficha de oportunidade</w:t>
            </w:r>
          </w:p>
        </w:tc>
        <w:tc>
          <w:tcPr>
            <w:tcW w:type="dxa" w:w="4825"/>
          </w:tcPr>
          <w:p>
            <w:r>
              <w:rPr>
                <w:b w:val="0"/>
                <w:i w:val="0"/>
              </w:rPr>
              <w:t>Cliente, produto, origem, destino, volume, decisor e próximo passo</w:t>
            </w:r>
          </w:p>
        </w:tc>
        <w:tc>
          <w:tcPr>
            <w:tcW w:type="dxa" w:w="2041"/>
          </w:tcPr>
          <w:p>
            <w:r>
              <w:rPr>
                <w:b w:val="0"/>
                <w:i w:val="0"/>
              </w:rPr>
              <w:t>Comercial</w:t>
            </w:r>
          </w:p>
        </w:tc>
      </w:tr>
      <w:tr>
        <w:tc>
          <w:tcPr>
            <w:tcW w:type="dxa" w:w="2494"/>
          </w:tcPr>
          <w:p>
            <w:r>
              <w:rPr>
                <w:b w:val="0"/>
                <w:i w:val="0"/>
              </w:rPr>
              <w:t>Estudo de viabilidade</w:t>
            </w:r>
          </w:p>
        </w:tc>
        <w:tc>
          <w:tcPr>
            <w:tcW w:type="dxa" w:w="4825"/>
          </w:tcPr>
          <w:p>
            <w:r>
              <w:rPr>
                <w:b w:val="0"/>
                <w:i w:val="0"/>
              </w:rPr>
              <w:t>Premissas, custos, capacidade, riscos, parecer e aprovação</w:t>
            </w:r>
          </w:p>
        </w:tc>
        <w:tc>
          <w:tcPr>
            <w:tcW w:type="dxa" w:w="2041"/>
          </w:tcPr>
          <w:p>
            <w:r>
              <w:rPr>
                <w:b w:val="0"/>
                <w:i w:val="0"/>
              </w:rPr>
              <w:t>Comitê comercial</w:t>
            </w:r>
          </w:p>
        </w:tc>
      </w:tr>
      <w:tr>
        <w:tc>
          <w:tcPr>
            <w:tcW w:type="dxa" w:w="2494"/>
          </w:tcPr>
          <w:p>
            <w:r>
              <w:rPr>
                <w:b w:val="0"/>
                <w:i w:val="0"/>
              </w:rPr>
              <w:t>Proposta comercial</w:t>
            </w:r>
          </w:p>
        </w:tc>
        <w:tc>
          <w:tcPr>
            <w:tcW w:type="dxa" w:w="4825"/>
          </w:tcPr>
          <w:p>
            <w:r>
              <w:rPr>
                <w:b w:val="0"/>
                <w:i w:val="0"/>
              </w:rPr>
              <w:t>Preço, escopo, prazo, SLA, responsabilidades e validade</w:t>
            </w:r>
          </w:p>
        </w:tc>
        <w:tc>
          <w:tcPr>
            <w:tcW w:type="dxa" w:w="2041"/>
          </w:tcPr>
          <w:p>
            <w:r>
              <w:rPr>
                <w:b w:val="0"/>
                <w:i w:val="0"/>
              </w:rPr>
              <w:t>Diretoria comercial</w:t>
            </w:r>
          </w:p>
        </w:tc>
      </w:tr>
      <w:tr>
        <w:tc>
          <w:tcPr>
            <w:tcW w:type="dxa" w:w="2494"/>
          </w:tcPr>
          <w:p>
            <w:r>
              <w:rPr>
                <w:b w:val="0"/>
                <w:i w:val="0"/>
              </w:rPr>
              <w:t>Compromisso</w:t>
            </w:r>
          </w:p>
        </w:tc>
        <w:tc>
          <w:tcPr>
            <w:tcW w:type="dxa" w:w="4825"/>
          </w:tcPr>
          <w:p>
            <w:r>
              <w:rPr>
                <w:b w:val="0"/>
                <w:i w:val="0"/>
              </w:rPr>
              <w:t>NDA, term sheet, carta ou contrato assinado</w:t>
            </w:r>
          </w:p>
        </w:tc>
        <w:tc>
          <w:tcPr>
            <w:tcW w:type="dxa" w:w="2041"/>
          </w:tcPr>
          <w:p>
            <w:r>
              <w:rPr>
                <w:b w:val="0"/>
                <w:i w:val="0"/>
              </w:rPr>
              <w:t>Jurídico/Diretoria</w:t>
            </w:r>
          </w:p>
        </w:tc>
      </w:tr>
      <w:tr>
        <w:tc>
          <w:tcPr>
            <w:tcW w:type="dxa" w:w="2494"/>
          </w:tcPr>
          <w:p>
            <w:r>
              <w:rPr>
                <w:b w:val="0"/>
                <w:i w:val="0"/>
              </w:rPr>
              <w:t>Relatório da primeira operação</w:t>
            </w:r>
          </w:p>
        </w:tc>
        <w:tc>
          <w:tcPr>
            <w:tcW w:type="dxa" w:w="4825"/>
          </w:tcPr>
          <w:p>
            <w:r>
              <w:rPr>
                <w:b w:val="0"/>
                <w:i w:val="0"/>
              </w:rPr>
              <w:t>Resultado, desvios, indicadores e ações corretivas</w:t>
            </w:r>
          </w:p>
        </w:tc>
        <w:tc>
          <w:tcPr>
            <w:tcW w:type="dxa" w:w="2041"/>
          </w:tcPr>
          <w:p>
            <w:r>
              <w:rPr>
                <w:b w:val="0"/>
                <w:i w:val="0"/>
              </w:rPr>
              <w:t>Operação + Comercial</w:t>
            </w:r>
          </w:p>
        </w:tc>
      </w:tr>
    </w:tbl>
    <w:p/>
    <w:p>
      <w:pPr>
        <w:keepNext/>
        <w:spacing w:before="160" w:after="60"/>
      </w:pPr>
      <w:r>
        <w:rPr>
          <w:b/>
          <w:color w:val="1F4E79"/>
          <w:sz w:val="24"/>
        </w:rPr>
        <w:t>8.  Critérios de encerramento</w:t>
      </w:r>
    </w:p>
    <w:p>
      <w:r>
        <w:rPr>
          <w:b w:val="0"/>
          <w:i w:val="0"/>
        </w:rPr>
        <w:t>A oportunidade deve ser encerrada como convertida somente quando o cliente tiver aceitado formalmente as condições, a capacidade operacional estiver validada, a primeira operação estiver programada e o compromisso tiver sido registrado. Deve ser encerrada como perdida quando o cliente escolher outro porto, não houver viabilidade, o volume não for confirmado ou não houver retorno após as tentativas previstas.</w:t>
      </w:r>
    </w:p>
    <w:p>
      <w:pPr>
        <w:keepNext/>
        <w:spacing w:before="160" w:after="60"/>
      </w:pPr>
      <w:r>
        <w:rPr>
          <w:b/>
          <w:color w:val="1F4E79"/>
          <w:sz w:val="24"/>
        </w:rPr>
        <w:t>9.  Indicadores de acompanhamento</w:t>
      </w:r>
    </w:p>
    <w:p>
      <w:r>
        <w:rPr>
          <w:b w:val="0"/>
          <w:i w:val="0"/>
        </w:rPr>
        <w:t>A gestão deve acompanhar número de leads, oportunidades qualificadas, volume potencial, valor potencial, taxa de conversão, tempo entre primeiro contato e proposta, tempo entre proposta e compromisso, número de primeiras operações, custo porta-a-porto, produtividade, desvios e volume recorrente.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2CC"/>
          </w:tcPr>
          <w:p>
            <w:r/>
            <w:r>
              <w:rPr>
                <w:b/>
                <w:i w:val="0"/>
              </w:rPr>
              <w:t>■ NOTA DE CONTROLE: este POP deve ser validado e aprovado pela organização responsável antes de ser utilizado como documento oficial. Dados de clientes e volumes devem ser reais, autorizados e rastreáveis.</w:t>
            </w:r>
          </w:p>
        </w:tc>
      </w:tr>
    </w:tbl>
    <w:p/>
    <w:sectPr w:rsidR="00FC693F" w:rsidRPr="0006063C" w:rsidSect="0003461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color w:val="475569"/>
        <w:sz w:val="16"/>
      </w:rPr>
      <w:t>POP-COM-001 – Prospecção e Fechamento Comercial de Novas Cargas · Versão 01</w:t>
      <w:tab/>
      <w:t xml:space="preserve">Página </w:t>
    </w:r>
    <w:fldSimple w:instr="PAGE">
      <w:r>
        <w:rPr>
          <w:sz w:val="16"/>
        </w:rPr>
        <w:t>1</w:t>
      </w:r>
    </w:fldSimple>
    <w:fldSimple w:instr="NUMPAGES">
      <w:r>
        <w:rPr>
          <w:sz w:val="16"/>
        </w:rPr>
        <w:t>1</w:t>
      </w:r>
    </w:fldSimple>
  </w:p>
  <w:p>
    <w:pPr>
      <w:jc w:val="center"/>
    </w:pPr>
    <w:r>
      <w:rPr>
        <w:i/>
        <w:color w:val="94A3B8"/>
        <w:sz w:val="15"/>
      </w:rPr>
      <w:t>Documento impresso é uma CÓPIA NÃO CONTROLADA — verifique a versão vigente no controle de documentos antes de utilizá-la.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18096"/>
        <w:sz w:val="18"/>
      </w:rPr>
      <w:t xml:space="preserve">POP-COM-001 · Prospecção e Fechamento Comercial de Novas Cargas · Versão 01 · Página </w:t>
    </w:r>
    <w:fldSimple w:instr="PAGE">
      <w:r>
        <w:rPr>
          <w:sz w:val="18"/>
        </w:rPr>
        <w:t>1</w:t>
      </w:r>
    </w:fldSimple>
    <w:fldSimple w:instr="NUMPAGES">
      <w:r>
        <w:rPr>
          <w:sz w:val="18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