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</w:t>
      </w:r>
      <w:r>
        <w:t xml:space="preserve"> </w:t>
      </w:r>
      <w:r>
        <w:t xml:space="preserve">exploratorio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actividad</w:t>
      </w:r>
      <w:r>
        <w:t xml:space="preserve"> </w:t>
      </w:r>
      <w:r>
        <w:t xml:space="preserve">económica</w:t>
      </w:r>
      <w:r>
        <w:t xml:space="preserve"> </w:t>
      </w:r>
      <w:r>
        <w:t xml:space="preserve">del</w:t>
      </w:r>
      <w:r>
        <w:t xml:space="preserve"> </w:t>
      </w:r>
      <w:r>
        <w:t xml:space="preserve">Paraguay</w:t>
      </w:r>
      <w:r>
        <w:t xml:space="preserve"> </w:t>
      </w:r>
      <w:r>
        <w:t xml:space="preserve">mediante</w:t>
      </w:r>
      <w:r>
        <w:t xml:space="preserve"> </w:t>
      </w:r>
      <w:r>
        <w:t xml:space="preserve">el</w:t>
      </w:r>
      <w:r>
        <w:t xml:space="preserve"> </w:t>
      </w:r>
      <w:r>
        <w:t xml:space="preserve">IMAEP</w:t>
      </w:r>
      <w:r>
        <w:t xml:space="preserve"> </w:t>
      </w:r>
      <w:r>
        <w:t xml:space="preserve">mensual,</w:t>
      </w:r>
      <w:r>
        <w:t xml:space="preserve"> </w:t>
      </w:r>
      <w:r>
        <w:t xml:space="preserve">2016-2025</w:t>
      </w:r>
    </w:p>
    <w:p>
      <w:pPr>
        <w:pStyle w:val="Subtitle"/>
      </w:pPr>
      <w:r>
        <w:t xml:space="preserve">Trabajo</w:t>
      </w:r>
      <w:r>
        <w:t xml:space="preserve"> </w:t>
      </w:r>
      <w:r>
        <w:t xml:space="preserve">práctico</w:t>
      </w:r>
      <w:r>
        <w:t xml:space="preserve"> </w:t>
      </w:r>
      <w:r>
        <w:t xml:space="preserve">-</w:t>
      </w:r>
      <w:r>
        <w:t xml:space="preserve"> </w:t>
      </w:r>
      <w:r>
        <w:t xml:space="preserve">Primera</w:t>
      </w:r>
      <w:r>
        <w:t xml:space="preserve"> </w:t>
      </w:r>
      <w:r>
        <w:t xml:space="preserve">entrega</w:t>
      </w:r>
    </w:p>
    <w:p>
      <w:pPr>
        <w:pStyle w:val="Author"/>
      </w:pPr>
      <w:r>
        <w:t xml:space="preserve">Bruno</w:t>
      </w:r>
      <w:r>
        <w:t xml:space="preserve"> </w:t>
      </w:r>
      <w:r>
        <w:t xml:space="preserve">Aguilera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esumen"/>
      <w:r>
        <w:t xml:space="preserve">Resumen</w:t>
      </w:r>
      <w:bookmarkEnd w:id="20"/>
    </w:p>
    <w:p>
      <w:pPr>
        <w:pStyle w:val="FirstParagraph"/>
      </w:pPr>
      <w:r>
        <w:t xml:space="preserve">Este trabajo presenta una exploración descriptiva del nivel mensual del Indicador Mensual de Actividad Económica del Paraguay (IMAEP) total, serie original, para enero de 2016 a diciembre de 2025. Se utilizaron exclusivamente datos oficiales del Banco Central del Paraguay (BCP). La entrega comprende selección trazable de la serie, controles de calidad, gráfica temporal, estadísticas básicas y una interpretación acotada a los resultados observables.</w:t>
      </w:r>
    </w:p>
    <w:p>
      <w:pPr>
        <w:pStyle w:val="BodyText"/>
      </w:pPr>
      <w:r>
        <w:t xml:space="preserve">El período contiene</w:t>
      </w:r>
      <w:r>
        <w:t xml:space="preserve"> </w:t>
      </w:r>
      <w:r>
        <w:rPr>
          <w:b/>
        </w:rPr>
        <w:t xml:space="preserve">120 observaciones mensuales válidas</w:t>
      </w:r>
      <w:r>
        <w:t xml:space="preserve">, sin fechas duplicadas ni meses faltantes. No se imputaron valores y no se implementaron modelos ni pronósticos. Todos los registros analizados están identificados en el libro como cifras preliminares, sujetas a revisión.</w:t>
      </w:r>
    </w:p>
    <w:p>
      <w:pPr>
        <w:pStyle w:val="Heading1"/>
      </w:pPr>
      <w:bookmarkStart w:id="21" w:name="objetivo"/>
      <w:r>
        <w:t xml:space="preserve">Objetivo</w:t>
      </w:r>
      <w:bookmarkEnd w:id="21"/>
    </w:p>
    <w:p>
      <w:pPr>
        <w:pStyle w:val="FirstParagraph"/>
      </w:pPr>
      <w:r>
        <w:t xml:space="preserve">El objetivo es describir la evolución observada del nivel del IMAEP total, serie original, entre 2016 y 2025, mediante una gráfica temporal y estadísticas descriptivas reproducibles. El trabajo no busca explicar causalmente los cambios ni evaluar estacionariedad, estacionalidad o capacidad predictiva.</w:t>
      </w:r>
    </w:p>
    <w:p>
      <w:pPr>
        <w:pStyle w:val="Heading1"/>
      </w:pPr>
      <w:bookmarkStart w:id="22" w:name="fuente-y-definición-del-indicador"/>
      <w:r>
        <w:t xml:space="preserve">Fuente y definición del indicador</w:t>
      </w:r>
      <w:bookmarkEnd w:id="22"/>
    </w:p>
    <w:p>
      <w:pPr>
        <w:pStyle w:val="FirstParagraph"/>
      </w:pPr>
      <w:r>
        <w:t xml:space="preserve">La fuente es el</w:t>
      </w:r>
      <w:r>
        <w:t xml:space="preserve"> </w:t>
      </w:r>
      <w:hyperlink r:id="rId23">
        <w:r>
          <w:rPr>
            <w:rStyle w:val="Hyperlink"/>
          </w:rPr>
          <w:t xml:space="preserve">Banco Central del Paraguay</w:t>
        </w:r>
      </w:hyperlink>
      <w:r>
        <w:t xml:space="preserve">. El IMAEP es un índice que brinda señales de corto plazo sobre el comportamiento mensual de la producción de bienes y servicios en términos constantes. No representa el valor del PIB mensual.</w:t>
      </w:r>
    </w:p>
    <w:p>
      <w:pPr>
        <w:numPr>
          <w:ilvl w:val="0"/>
          <w:numId w:val="1001"/>
        </w:numPr>
        <w:pStyle w:val="Compact"/>
      </w:pPr>
      <w:r>
        <w:t xml:space="preserve">Archivo preservado:</w:t>
      </w:r>
      <w:r>
        <w:t xml:space="preserve"> </w:t>
      </w:r>
      <w:r>
        <w:rPr>
          <w:rStyle w:val="VerbatimChar"/>
        </w:rPr>
        <w:t xml:space="preserve">data/raw/imaep_bcp_original.xlsx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SHA-256:</w:t>
      </w:r>
      <w:r>
        <w:t xml:space="preserve"> </w:t>
      </w:r>
      <w:r>
        <w:rPr>
          <w:rStyle w:val="VerbatimChar"/>
        </w:rPr>
        <w:t xml:space="preserve">7c413354fb6bbaf56b2797e33e72e33f3de91059a5a358e9e0c5dc15085c4c94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Tamaño: 130756 bytes.</w:t>
      </w:r>
    </w:p>
    <w:p>
      <w:pPr>
        <w:numPr>
          <w:ilvl w:val="0"/>
          <w:numId w:val="1001"/>
        </w:numPr>
        <w:pStyle w:val="Compact"/>
      </w:pPr>
      <w:r>
        <w:t xml:space="preserve">Unidad confirmada:</w:t>
      </w:r>
      <w:r>
        <w:t xml:space="preserve"> </w:t>
      </w:r>
      <w:r>
        <w:rPr>
          <w:b/>
        </w:rPr>
        <w:t xml:space="preserve">índice base 2014 = 100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Frecuencia: mensual.</w:t>
      </w:r>
    </w:p>
    <w:p>
      <w:pPr>
        <w:numPr>
          <w:ilvl w:val="0"/>
          <w:numId w:val="1001"/>
        </w:numPr>
        <w:pStyle w:val="Compact"/>
      </w:pPr>
      <w:r>
        <w:t xml:space="preserve">Período: 2016-01-01 a 2025-12-01.</w:t>
      </w:r>
    </w:p>
    <w:p>
      <w:pPr>
        <w:pStyle w:val="FirstParagraph"/>
      </w:pPr>
      <w:r>
        <w:t xml:space="preserve">La versión utilizada fue consultada en septiembre de 2026 y puede contener revisiones respecto de los valores publicados originalmente en cada mes.</w:t>
      </w:r>
    </w:p>
    <w:p>
      <w:pPr>
        <w:pStyle w:val="Heading1"/>
      </w:pPr>
      <w:bookmarkStart w:id="24" w:name="selección-de-la-serie"/>
      <w:r>
        <w:t xml:space="preserve">Selección de la serie</w:t>
      </w:r>
      <w:bookmarkEnd w:id="24"/>
    </w:p>
    <w:p>
      <w:pPr>
        <w:pStyle w:val="FirstParagraph"/>
      </w:pPr>
      <w:r>
        <w:t xml:space="preserve">La inspección del libro permitió identificar la serie solicitada sin utilizar nombres supuestos:</w:t>
      </w:r>
    </w:p>
    <w:p>
      <w:pPr>
        <w:numPr>
          <w:ilvl w:val="0"/>
          <w:numId w:val="1002"/>
        </w:numPr>
        <w:pStyle w:val="Compact"/>
      </w:pPr>
      <w:r>
        <w:t xml:space="preserve">Hoja principal:</w:t>
      </w:r>
      <w:r>
        <w:t xml:space="preserve"> </w:t>
      </w:r>
      <w:r>
        <w:rPr>
          <w:rStyle w:val="VerbatimChar"/>
        </w:rPr>
        <w:t xml:space="preserve">IMAEP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Encabezado:</w:t>
      </w:r>
      <w:r>
        <w:t xml:space="preserve"> </w:t>
      </w:r>
      <w:r>
        <w:rPr>
          <w:rStyle w:val="VerbatimChar"/>
        </w:rPr>
        <w:t xml:space="preserve">IMAEP!C9</w:t>
      </w:r>
      <w:r>
        <w:t xml:space="preserve">,</w:t>
      </w:r>
      <w:r>
        <w:t xml:space="preserve"> </w:t>
      </w:r>
      <w:r>
        <w:rPr>
          <w:b/>
        </w:rPr>
        <w:t xml:space="preserve">IMAEP Serie Original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Fechas y niveles:</w:t>
      </w:r>
      <w:r>
        <w:t xml:space="preserve"> </w:t>
      </w:r>
      <w:r>
        <w:rPr>
          <w:rStyle w:val="VerbatimChar"/>
        </w:rPr>
        <w:t xml:space="preserve">IMAEP!B274:C393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Unidad/base:</w:t>
      </w:r>
      <w:r>
        <w:t xml:space="preserve"> </w:t>
      </w:r>
      <w:r>
        <w:rPr>
          <w:rStyle w:val="VerbatimChar"/>
        </w:rPr>
        <w:t xml:space="preserve">IMAEP!B8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Verificación independiente dentro del libro:</w:t>
      </w:r>
      <w:r>
        <w:t xml:space="preserve"> </w:t>
      </w:r>
      <w:r>
        <w:rPr>
          <w:rStyle w:val="VerbatimChar"/>
        </w:rPr>
        <w:t xml:space="preserve">IMAEP-apertura por sectores!B35:B154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O35:O154</w:t>
      </w:r>
      <w:r>
        <w:t xml:space="preserve">, bajo los encabezados</w:t>
      </w:r>
      <w:r>
        <w:t xml:space="preserve"> </w:t>
      </w:r>
      <w:r>
        <w:rPr>
          <w:b/>
        </w:rPr>
        <w:t xml:space="preserve">IMAEP / Serie Original</w:t>
      </w:r>
      <w:r>
        <w:t xml:space="preserve">.</w:t>
      </w:r>
    </w:p>
    <w:p>
      <w:pPr>
        <w:pStyle w:val="FirstParagraph"/>
      </w:pPr>
      <w:r>
        <w:t xml:space="preserve">No se utilizaron variaciones porcentuales, índices sectoriales, IMAEP sin agricultura ni binacionales, serie ajustada ni tendencia-ciclo. La fecha ISO usa el día 1 únicamente para identificar el mes; no implica frecuencia diaria.</w:t>
      </w:r>
    </w:p>
    <w:p>
      <w:pPr>
        <w:pStyle w:val="Heading1"/>
      </w:pPr>
      <w:bookmarkStart w:id="25" w:name="preparación-y-controles-de-calidad"/>
      <w:r>
        <w:t xml:space="preserve">Preparación y controles de calidad</w:t>
      </w:r>
      <w:bookmarkEnd w:id="25"/>
    </w:p>
    <w:p>
      <w:pPr>
        <w:pStyle w:val="FirstParagraph"/>
      </w:pPr>
      <w:r>
        <w:t xml:space="preserve">El procesamiento se realizó mediante</w:t>
      </w:r>
      <w:r>
        <w:t xml:space="preserve"> </w:t>
      </w:r>
      <w:r>
        <w:rPr>
          <w:rStyle w:val="VerbatimChar"/>
        </w:rPr>
        <w:t xml:space="preserve">analizar_imaep.py</w:t>
      </w:r>
      <w:r>
        <w:t xml:space="preserve">, sin copiar resultados manualmente. Los valores se conservaron con la precisión disponible en el Excel y solo se redondearon para su presentación.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Observaciones esperadas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Observaciones válidas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Fechas duplicadas</w:t>
            </w:r>
          </w:p>
        </w:tc>
        <w:tc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Meses faltantes</w:t>
            </w:r>
          </w:p>
        </w:tc>
        <w:tc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Valores no numéricos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Valores no finitos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Orden cronológico</w:t>
            </w:r>
          </w:p>
        </w:tc>
        <w:tc>
          <w:p>
            <w:pPr>
              <w:pStyle w:val="Compact"/>
              <w:jc w:val="left"/>
            </w:pPr>
            <w:r>
              <w:t xml:space="preserve">Correcto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Continuidad mensual</w:t>
            </w:r>
          </w:p>
        </w:tc>
        <w:tc>
          <w:p>
            <w:pPr>
              <w:pStyle w:val="Compact"/>
              <w:jc w:val="left"/>
            </w:pPr>
            <w:r>
              <w:t xml:space="preserve">Correcta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Coincidencia con la hoja sectorial</w:t>
            </w:r>
          </w:p>
        </w:tc>
        <w:tc>
          <w:p>
            <w:pPr>
              <w:pStyle w:val="Compact"/>
              <w:jc w:val="left"/>
            </w:pPr>
            <w:r>
              <w:t xml:space="preserve">Sí, 120 de 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Coincidencia exacta CSV-Excel</w:t>
            </w:r>
          </w:p>
        </w:tc>
        <w:tc>
          <w:p>
            <w:pPr>
              <w:pStyle w:val="Compact"/>
              <w:jc w:val="left"/>
            </w:pPr>
            <w:r>
              <w:t xml:space="preserve">Sí, 120 de 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Cifras preliminares</w:t>
            </w:r>
          </w:p>
        </w:tc>
        <w:tc>
          <w:p>
            <w:pPr>
              <w:pStyle w:val="Compact"/>
              <w:jc w:val="left"/>
            </w:pPr>
            <w:r>
              <w:t xml:space="preserve">120 de 120</w:t>
            </w:r>
          </w:p>
        </w:tc>
      </w:tr>
    </w:tbl>
    <w:p>
      <w:pPr>
        <w:pStyle w:val="Heading1"/>
      </w:pPr>
      <w:bookmarkStart w:id="26" w:name="serie-temporal"/>
      <w:r>
        <w:t xml:space="preserve">Serie temporal</w:t>
      </w:r>
      <w:bookmarkEnd w:id="26"/>
    </w:p>
    <w:p>
      <w:pPr>
        <w:pStyle w:val="CaptionedFigure"/>
      </w:pPr>
      <w:r>
        <w:drawing>
          <wp:inline>
            <wp:extent cx="5334000" cy="2904259"/>
            <wp:effectExtent b="0" l="0" r="0" t="0"/>
            <wp:docPr descr="IMAEP total, serie original mensual. Fuente: BCP." title="" id="1" name="Picture"/>
            <a:graphic>
              <a:graphicData uri="http://schemas.openxmlformats.org/drawingml/2006/picture">
                <pic:pic>
                  <pic:nvPicPr>
                    <pic:cNvPr descr="../outputs/serie_ima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IMAEP total, serie original mensual. Fuente: BCP.</w:t>
      </w:r>
    </w:p>
    <w:p>
      <w:pPr>
        <w:pStyle w:val="BodyText"/>
      </w:pPr>
      <w:r>
        <w:t xml:space="preserve">La figura muestra fluctuaciones mensuales y niveles generalmente mayores hacia el final del período que al comienzo. El menor nivel observado fue</w:t>
      </w:r>
      <w:r>
        <w:t xml:space="preserve"> </w:t>
      </w:r>
      <w:r>
        <w:rPr>
          <w:b/>
        </w:rPr>
        <w:t xml:space="preserve">97.782</w:t>
      </w:r>
      <w:r>
        <w:t xml:space="preserve"> </w:t>
      </w:r>
      <w:r>
        <w:t xml:space="preserve">en</w:t>
      </w:r>
      <w:r>
        <w:t xml:space="preserve"> </w:t>
      </w:r>
      <w:r>
        <w:rPr>
          <w:b/>
        </w:rPr>
        <w:t xml:space="preserve">2020-04-01</w:t>
      </w:r>
      <w:r>
        <w:t xml:space="preserve"> </w:t>
      </w:r>
      <w:r>
        <w:t xml:space="preserve">y el mayor fue</w:t>
      </w:r>
      <w:r>
        <w:t xml:space="preserve"> </w:t>
      </w:r>
      <w:r>
        <w:rPr>
          <w:b/>
        </w:rPr>
        <w:t xml:space="preserve">158.480</w:t>
      </w:r>
      <w:r>
        <w:t xml:space="preserve"> </w:t>
      </w:r>
      <w:r>
        <w:t xml:space="preserve">en</w:t>
      </w:r>
      <w:r>
        <w:t xml:space="preserve"> </w:t>
      </w:r>
      <w:r>
        <w:rPr>
          <w:b/>
        </w:rPr>
        <w:t xml:space="preserve">2025-12-01</w:t>
      </w:r>
      <w:r>
        <w:t xml:space="preserve">. Estas observaciones no identifican por sí mismas las causas de los movimientos.</w:t>
      </w:r>
    </w:p>
    <w:p>
      <w:pPr>
        <w:pStyle w:val="Heading1"/>
      </w:pPr>
      <w:bookmarkStart w:id="28" w:name="estadísticas-descriptivas"/>
      <w:r>
        <w:t xml:space="preserve">Estadísticas descriptivas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Estadística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 asociado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 válida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>
            <w:pPr>
              <w:pStyle w:val="Compact"/>
              <w:jc w:val="left"/>
            </w:pPr>
            <w:r>
              <w:t xml:space="preserve">observaciones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 faltante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meses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119.985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p>
            <w:pPr>
              <w:pStyle w:val="Compact"/>
              <w:jc w:val="left"/>
            </w:pPr>
            <w:r>
              <w:t xml:space="preserve">118.846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t xml:space="preserve">97.782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2020-04-01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p>
            <w:pPr>
              <w:pStyle w:val="Compact"/>
              <w:jc w:val="left"/>
            </w:pPr>
            <w:r>
              <w:t xml:space="preserve">158.480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2025-12-01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p>
            <w:pPr>
              <w:pStyle w:val="Compact"/>
              <w:jc w:val="left"/>
            </w:pPr>
            <w:r>
              <w:t xml:space="preserve">60.698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111.540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126.239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Rango intercuartílico</w:t>
            </w:r>
          </w:p>
        </w:tc>
        <w:tc>
          <w:p>
            <w:pPr>
              <w:pStyle w:val="Compact"/>
              <w:jc w:val="left"/>
            </w:pPr>
            <w:r>
              <w:t xml:space="preserve">14.699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Varianza muestral</w:t>
            </w:r>
          </w:p>
        </w:tc>
        <w:tc>
          <w:p>
            <w:pPr>
              <w:pStyle w:val="Compact"/>
              <w:jc w:val="left"/>
            </w:pPr>
            <w:r>
              <w:t xml:space="preserve">144.822</w:t>
            </w:r>
          </w:p>
        </w:tc>
        <w:tc>
          <w:p>
            <w:pPr>
              <w:pStyle w:val="Compact"/>
              <w:jc w:val="left"/>
            </w:pPr>
            <w:r>
              <w:t xml:space="preserve">índice^2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Desviación estándar muestral</w:t>
            </w:r>
          </w:p>
        </w:tc>
        <w:tc>
          <w:p>
            <w:pPr>
              <w:pStyle w:val="Compact"/>
              <w:jc w:val="left"/>
            </w:pPr>
            <w:r>
              <w:t xml:space="preserve">12.034</w:t>
            </w:r>
          </w:p>
        </w:tc>
        <w:tc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La media del período fue</w:t>
      </w:r>
      <w:r>
        <w:t xml:space="preserve"> </w:t>
      </w:r>
      <w:r>
        <w:rPr>
          <w:b/>
        </w:rPr>
        <w:t xml:space="preserve">119.985</w:t>
      </w:r>
      <w:r>
        <w:t xml:space="preserve"> </w:t>
      </w:r>
      <w:r>
        <w:t xml:space="preserve">y la mediana</w:t>
      </w:r>
      <w:r>
        <w:t xml:space="preserve"> </w:t>
      </w:r>
      <w:r>
        <w:rPr>
          <w:b/>
        </w:rPr>
        <w:t xml:space="preserve">118.846</w:t>
      </w:r>
      <w:r>
        <w:t xml:space="preserve">. El 50 % central de los niveles se ubicó entre</w:t>
      </w:r>
      <w:r>
        <w:t xml:space="preserve"> </w:t>
      </w:r>
      <w:r>
        <w:rPr>
          <w:b/>
        </w:rPr>
        <w:t xml:space="preserve">111.540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126.239</w:t>
      </w:r>
      <w:r>
        <w:t xml:space="preserve">, con un rango intercuartílico de</w:t>
      </w:r>
      <w:r>
        <w:t xml:space="preserve"> </w:t>
      </w:r>
      <w:r>
        <w:rPr>
          <w:b/>
        </w:rPr>
        <w:t xml:space="preserve">14.699</w:t>
      </w:r>
      <w:r>
        <w:t xml:space="preserve">. El rango total fue</w:t>
      </w:r>
      <w:r>
        <w:t xml:space="preserve"> </w:t>
      </w:r>
      <w:r>
        <w:rPr>
          <w:b/>
        </w:rPr>
        <w:t xml:space="preserve">60.698</w:t>
      </w:r>
      <w:r>
        <w:t xml:space="preserve"> </w:t>
      </w:r>
      <w:r>
        <w:t xml:space="preserve">puntos de índice.</w:t>
      </w:r>
    </w:p>
    <w:p>
      <w:pPr>
        <w:pStyle w:val="BodyText"/>
      </w:pPr>
      <w:r>
        <w:t xml:space="preserve">La varianza y la desviación estándar son muestrales y usan denominador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. Q1 y Q3 se calcularon mediante cuantiles inclusivos con interpolación lineal y posición</w:t>
      </w:r>
      <w:r>
        <w:t xml:space="preserve"> </w:t>
      </w:r>
      <m:oMath>
        <m:r>
          <m:t>(</m:t>
        </m:r>
        <m:r>
          <m:t>n</m:t>
        </m:r>
        <m:r>
          <m:t>−</m:t>
        </m:r>
        <m:r>
          <m:t>1</m:t>
        </m:r>
        <m:r>
          <m:t>)</m:t>
        </m:r>
        <m:r>
          <m:t>p</m:t>
        </m:r>
      </m:oMath>
      <w:r>
        <w:t xml:space="preserve">. Las estadísticas describen los niveles del período; no prueban estacionariedad.</w:t>
      </w:r>
    </w:p>
    <w:p>
      <w:pPr>
        <w:pStyle w:val="Heading1"/>
      </w:pPr>
      <w:bookmarkStart w:id="29" w:name="interpretación-y-limitaciones"/>
      <w:r>
        <w:t xml:space="preserve">Interpretación y limitaciones</w:t>
      </w:r>
      <w:bookmarkEnd w:id="29"/>
    </w:p>
    <w:p>
      <w:pPr>
        <w:pStyle w:val="FirstParagraph"/>
      </w:pPr>
      <w:r>
        <w:t xml:space="preserve">Los resultados muestran una dispersión muestral de</w:t>
      </w:r>
      <w:r>
        <w:t xml:space="preserve"> </w:t>
      </w:r>
      <w:r>
        <w:rPr>
          <w:b/>
        </w:rPr>
        <w:t xml:space="preserve">12.034</w:t>
      </w:r>
      <w:r>
        <w:t xml:space="preserve"> </w:t>
      </w:r>
      <w:r>
        <w:t xml:space="preserve">puntos de índice alrededor de la media y una amplitud de</w:t>
      </w:r>
      <w:r>
        <w:t xml:space="preserve"> </w:t>
      </w:r>
      <w:r>
        <w:rPr>
          <w:b/>
        </w:rPr>
        <w:t xml:space="preserve">60.698</w:t>
      </w:r>
      <w:r>
        <w:t xml:space="preserve"> </w:t>
      </w:r>
      <w:r>
        <w:t xml:space="preserve">entre los extremos observados. La gráfica también permite reconocer oscilaciones dentro de cada año y un mínimo destacado en abril de 2020, pero este trabajo no atribuye esos cambios a pandemia, clima, políticas públicas u otras causas porque no se incorporó evidencia causal adicional.</w:t>
      </w:r>
    </w:p>
    <w:p>
      <w:pPr>
        <w:pStyle w:val="BodyText"/>
      </w:pPr>
      <w:r>
        <w:t xml:space="preserve">Las principales limitaciones son:</w:t>
      </w:r>
    </w:p>
    <w:p>
      <w:pPr>
        <w:numPr>
          <w:ilvl w:val="0"/>
          <w:numId w:val="1003"/>
        </w:numPr>
        <w:pStyle w:val="Compact"/>
      </w:pPr>
      <w:r>
        <w:t xml:space="preserve">Las 120 observaciones están marcadas como preliminares y pueden ser revisadas por el BCP.</w:t>
      </w:r>
    </w:p>
    <w:p>
      <w:pPr>
        <w:numPr>
          <w:ilvl w:val="0"/>
          <w:numId w:val="1003"/>
        </w:numPr>
        <w:pStyle w:val="Compact"/>
      </w:pPr>
      <w:r>
        <w:t xml:space="preserve">Se analiza una versión histórica consultada en 2026, no cada publicación original o</w:t>
      </w:r>
      <w:r>
        <w:t xml:space="preserve"> </w:t>
      </w:r>
      <w:r>
        <w:rPr>
          <w:i/>
        </w:rPr>
        <w:t xml:space="preserve">vintage</w:t>
      </w:r>
      <w:r>
        <w:t xml:space="preserve"> </w:t>
      </w:r>
      <w:r>
        <w:t xml:space="preserve">mensual.</w:t>
      </w:r>
    </w:p>
    <w:p>
      <w:pPr>
        <w:numPr>
          <w:ilvl w:val="0"/>
          <w:numId w:val="1003"/>
        </w:numPr>
        <w:pStyle w:val="Compact"/>
      </w:pPr>
      <w:r>
        <w:t xml:space="preserve">Una inspección gráfica no confirma estacionalidad ni tendencia estadística.</w:t>
      </w:r>
    </w:p>
    <w:p>
      <w:pPr>
        <w:numPr>
          <w:ilvl w:val="0"/>
          <w:numId w:val="1003"/>
        </w:numPr>
        <w:pStyle w:val="Compact"/>
      </w:pPr>
      <w:r>
        <w:t xml:space="preserve">El IMAEP es un indicador de actividad y no el valor del PIB mensual.</w:t>
      </w:r>
    </w:p>
    <w:p>
      <w:pPr>
        <w:numPr>
          <w:ilvl w:val="0"/>
          <w:numId w:val="1003"/>
        </w:numPr>
        <w:pStyle w:val="Compact"/>
      </w:pPr>
      <w:r>
        <w:t xml:space="preserve">Esta fase excluye imputaciones, descomposición, ACF/PACF, pruebas de estacionariedad, modelos y pronósticos.</w:t>
      </w:r>
    </w:p>
    <w:p>
      <w:pPr>
        <w:pStyle w:val="Heading1"/>
      </w:pPr>
      <w:bookmarkStart w:id="30" w:name="flujo-metodológico-de-referencia"/>
      <w:r>
        <w:t xml:space="preserve">Flujo metodológico de referencia</w:t>
      </w:r>
      <w:bookmarkEnd w:id="30"/>
    </w:p>
    <w:p>
      <w:pPr>
        <w:pStyle w:val="FirstParagraph"/>
      </w:pPr>
      <w:r>
        <w:t xml:space="preserve">La siguiente imagen resume un flujo general de análisis de series temporales. La entrega actual cubre únicamente la obtención, validación y exploración inicial de los datos; las etapas de modelado y pronóstico quedan fuera del alcance.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lujo general para el estudio de series temporales." title="" id="1" name="Picture"/>
            <a:graphic>
              <a:graphicData uri="http://schemas.openxmlformats.org/drawingml/2006/picture">
                <pic:pic>
                  <pic:nvPicPr>
                    <pic:cNvPr descr="../referencias/flujo_series_temporale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general para el estudio de series temporales.</w:t>
      </w:r>
    </w:p>
    <w:p>
      <w:pPr>
        <w:pStyle w:val="Heading1"/>
      </w:pPr>
      <w:bookmarkStart w:id="32" w:name="conclusión"/>
      <w:r>
        <w:t xml:space="preserve">Conclusión</w:t>
      </w:r>
      <w:bookmarkEnd w:id="32"/>
    </w:p>
    <w:p>
      <w:pPr>
        <w:pStyle w:val="FirstParagraph"/>
      </w:pPr>
      <w:r>
        <w:t xml:space="preserve">El conjunto oficial seleccionado cubre completamente enero de 2016 a diciembre de 2025. La correspondencia exacta entre el Excel, la hoja de verificación y el CSV, junto con la ausencia de duplicados y faltantes, permite sostener la validez técnica de esta primera entrega. En términos descriptivos, los niveles se concentraron centralmente entre</w:t>
      </w:r>
      <w:r>
        <w:t xml:space="preserve"> </w:t>
      </w:r>
      <w:r>
        <w:rPr>
          <w:b/>
        </w:rPr>
        <w:t xml:space="preserve">111.540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126.239</w:t>
      </w:r>
      <w:r>
        <w:t xml:space="preserve">, con media</w:t>
      </w:r>
      <w:r>
        <w:t xml:space="preserve"> </w:t>
      </w:r>
      <w:r>
        <w:rPr>
          <w:b/>
        </w:rPr>
        <w:t xml:space="preserve">119.985</w:t>
      </w:r>
      <w:r>
        <w:t xml:space="preserve"> </w:t>
      </w:r>
      <w:r>
        <w:t xml:space="preserve">y mediana</w:t>
      </w:r>
      <w:r>
        <w:t xml:space="preserve"> </w:t>
      </w:r>
      <w:r>
        <w:rPr>
          <w:b/>
        </w:rPr>
        <w:t xml:space="preserve">118.846</w:t>
      </w:r>
      <w:r>
        <w:t xml:space="preserve">. Cualquier explicación causal o extensión predictiva requerirá una fase posterior y evidencia adicional.</w:t>
      </w:r>
    </w:p>
    <w:p>
      <w:pPr>
        <w:pStyle w:val="Heading1"/>
      </w:pPr>
      <w:bookmarkStart w:id="33" w:name="anexo-datos-completos"/>
      <w:r>
        <w:t xml:space="preserve">Anexo: datos completos</w:t>
      </w:r>
      <w:bookmarkEnd w:id="33"/>
    </w:p>
    <w:p>
      <w:pPr>
        <w:pStyle w:val="FirstParagraph"/>
      </w:pPr>
      <w:r>
        <w:t xml:space="preserve">La tabla contiene las 120 observaciones utilizadas. Los decimales se presentan como están almacenados en el CSV limpio; todas las estadísticas se calcularon antes de redondear su presentación.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IMAEP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2016-01-01</w:t>
            </w:r>
          </w:p>
        </w:tc>
        <w:tc>
          <w:p>
            <w:pPr>
              <w:pStyle w:val="Compact"/>
              <w:jc w:val="left"/>
            </w:pPr>
            <w:r>
              <w:t xml:space="preserve">99.33826725316615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2016-02-01</w:t>
            </w:r>
          </w:p>
        </w:tc>
        <w:tc>
          <w:p>
            <w:pPr>
              <w:pStyle w:val="Compact"/>
              <w:jc w:val="left"/>
            </w:pPr>
            <w:r>
              <w:t xml:space="preserve">104.80854898676499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2016-03-01</w:t>
            </w:r>
          </w:p>
        </w:tc>
        <w:tc>
          <w:p>
            <w:pPr>
              <w:pStyle w:val="Compact"/>
              <w:jc w:val="left"/>
            </w:pPr>
            <w:r>
              <w:t xml:space="preserve">109.20861128995935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2016-04-01</w:t>
            </w:r>
          </w:p>
        </w:tc>
        <w:tc>
          <w:p>
            <w:pPr>
              <w:pStyle w:val="Compact"/>
              <w:jc w:val="left"/>
            </w:pPr>
            <w:r>
              <w:t xml:space="preserve">106.83613888791348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2016-05-01</w:t>
            </w:r>
          </w:p>
        </w:tc>
        <w:tc>
          <w:p>
            <w:pPr>
              <w:pStyle w:val="Compact"/>
              <w:jc w:val="left"/>
            </w:pPr>
            <w:r>
              <w:t xml:space="preserve">102.67708650187271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2016-06-01</w:t>
            </w:r>
          </w:p>
        </w:tc>
        <w:tc>
          <w:p>
            <w:pPr>
              <w:pStyle w:val="Compact"/>
              <w:jc w:val="left"/>
            </w:pPr>
            <w:r>
              <w:t xml:space="preserve">102.16690640368162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2016-07-01</w:t>
            </w:r>
          </w:p>
        </w:tc>
        <w:tc>
          <w:p>
            <w:pPr>
              <w:pStyle w:val="Compact"/>
              <w:jc w:val="left"/>
            </w:pPr>
            <w:r>
              <w:t xml:space="preserve">100.97617106397135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2016-08-01</w:t>
            </w:r>
          </w:p>
        </w:tc>
        <w:tc>
          <w:p>
            <w:pPr>
              <w:pStyle w:val="Compact"/>
              <w:jc w:val="left"/>
            </w:pPr>
            <w:r>
              <w:t xml:space="preserve">100.66908044775451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2016-09-01</w:t>
            </w:r>
          </w:p>
        </w:tc>
        <w:tc>
          <w:p>
            <w:pPr>
              <w:pStyle w:val="Compact"/>
              <w:jc w:val="left"/>
            </w:pPr>
            <w:r>
              <w:t xml:space="preserve">105.28072089853927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2016-10-01</w:t>
            </w:r>
          </w:p>
        </w:tc>
        <w:tc>
          <w:p>
            <w:pPr>
              <w:pStyle w:val="Compact"/>
              <w:jc w:val="left"/>
            </w:pPr>
            <w:r>
              <w:t xml:space="preserve">107.75873094252819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2016-11-01</w:t>
            </w:r>
          </w:p>
        </w:tc>
        <w:tc>
          <w:p>
            <w:pPr>
              <w:pStyle w:val="Compact"/>
              <w:jc w:val="left"/>
            </w:pPr>
            <w:r>
              <w:t xml:space="preserve">108.41435116336936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2016-12-01</w:t>
            </w:r>
          </w:p>
        </w:tc>
        <w:tc>
          <w:p>
            <w:pPr>
              <w:pStyle w:val="Compact"/>
              <w:jc w:val="left"/>
            </w:pPr>
            <w:r>
              <w:t xml:space="preserve">122.38528034457399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2017-01-01</w:t>
            </w:r>
          </w:p>
        </w:tc>
        <w:tc>
          <w:p>
            <w:pPr>
              <w:pStyle w:val="Compact"/>
              <w:jc w:val="left"/>
            </w:pPr>
            <w:r>
              <w:t xml:space="preserve">106.93009052109855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2017-02-01</w:t>
            </w:r>
          </w:p>
        </w:tc>
        <w:tc>
          <w:p>
            <w:pPr>
              <w:pStyle w:val="Compact"/>
              <w:jc w:val="left"/>
            </w:pPr>
            <w:r>
              <w:t xml:space="preserve">109.5414121408088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2017-03-01</w:t>
            </w:r>
          </w:p>
        </w:tc>
        <w:tc>
          <w:p>
            <w:pPr>
              <w:pStyle w:val="Compact"/>
              <w:jc w:val="left"/>
            </w:pPr>
            <w:r>
              <w:t xml:space="preserve">119.9392353160826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2017-04-01</w:t>
            </w:r>
          </w:p>
        </w:tc>
        <w:tc>
          <w:p>
            <w:pPr>
              <w:pStyle w:val="Compact"/>
              <w:jc w:val="left"/>
            </w:pPr>
            <w:r>
              <w:t xml:space="preserve">105.78382043380438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2017-05-01</w:t>
            </w:r>
          </w:p>
        </w:tc>
        <w:tc>
          <w:p>
            <w:pPr>
              <w:pStyle w:val="Compact"/>
              <w:jc w:val="left"/>
            </w:pPr>
            <w:r>
              <w:t xml:space="preserve">108.5416283098626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2017-06-01</w:t>
            </w:r>
          </w:p>
        </w:tc>
        <w:tc>
          <w:p>
            <w:pPr>
              <w:pStyle w:val="Compact"/>
              <w:jc w:val="left"/>
            </w:pPr>
            <w:r>
              <w:t xml:space="preserve">105.01208857118152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2017-07-01</w:t>
            </w:r>
          </w:p>
        </w:tc>
        <w:tc>
          <w:p>
            <w:pPr>
              <w:pStyle w:val="Compact"/>
              <w:jc w:val="left"/>
            </w:pPr>
            <w:r>
              <w:t xml:space="preserve">105.27417957499392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2017-08-01</w:t>
            </w:r>
          </w:p>
        </w:tc>
        <w:tc>
          <w:p>
            <w:pPr>
              <w:pStyle w:val="Compact"/>
              <w:jc w:val="left"/>
            </w:pPr>
            <w:r>
              <w:t xml:space="preserve">107.16766159906881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2017-09-01</w:t>
            </w:r>
          </w:p>
        </w:tc>
        <w:tc>
          <w:p>
            <w:pPr>
              <w:pStyle w:val="Compact"/>
              <w:jc w:val="left"/>
            </w:pPr>
            <w:r>
              <w:t xml:space="preserve">108.66538724916728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2017-10-01</w:t>
            </w:r>
          </w:p>
        </w:tc>
        <w:tc>
          <w:p>
            <w:pPr>
              <w:pStyle w:val="Compact"/>
              <w:jc w:val="left"/>
            </w:pPr>
            <w:r>
              <w:t xml:space="preserve">114.77704604933506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2017-11-01</w:t>
            </w:r>
          </w:p>
        </w:tc>
        <w:tc>
          <w:p>
            <w:pPr>
              <w:pStyle w:val="Compact"/>
              <w:jc w:val="left"/>
            </w:pPr>
            <w:r>
              <w:t xml:space="preserve">115.84921299928256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2017-12-01</w:t>
            </w:r>
          </w:p>
        </w:tc>
        <w:tc>
          <w:p>
            <w:pPr>
              <w:pStyle w:val="Compact"/>
              <w:jc w:val="left"/>
            </w:pPr>
            <w:r>
              <w:t xml:space="preserve">126.17382003525992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114.13969509447043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2018-02-01</w:t>
            </w:r>
          </w:p>
        </w:tc>
        <w:tc>
          <w:p>
            <w:pPr>
              <w:pStyle w:val="Compact"/>
              <w:jc w:val="left"/>
            </w:pPr>
            <w:r>
              <w:t xml:space="preserve">117.06300413651076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2018-03-01</w:t>
            </w:r>
          </w:p>
        </w:tc>
        <w:tc>
          <w:p>
            <w:pPr>
              <w:pStyle w:val="Compact"/>
              <w:jc w:val="left"/>
            </w:pPr>
            <w:r>
              <w:t xml:space="preserve">123.78131853079216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2018-04-01</w:t>
            </w:r>
          </w:p>
        </w:tc>
        <w:tc>
          <w:p>
            <w:pPr>
              <w:pStyle w:val="Compact"/>
              <w:jc w:val="left"/>
            </w:pPr>
            <w:r>
              <w:t xml:space="preserve">119.48835255054001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2018-05-01</w:t>
            </w:r>
          </w:p>
        </w:tc>
        <w:tc>
          <w:p>
            <w:pPr>
              <w:pStyle w:val="Compact"/>
              <w:jc w:val="left"/>
            </w:pPr>
            <w:r>
              <w:t xml:space="preserve">115.30905984015018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2018-06-01</w:t>
            </w:r>
          </w:p>
        </w:tc>
        <w:tc>
          <w:p>
            <w:pPr>
              <w:pStyle w:val="Compact"/>
              <w:jc w:val="left"/>
            </w:pPr>
            <w:r>
              <w:t xml:space="preserve">106.85615027677139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2018-07-01</w:t>
            </w:r>
          </w:p>
        </w:tc>
        <w:tc>
          <w:p>
            <w:pPr>
              <w:pStyle w:val="Compact"/>
              <w:jc w:val="left"/>
            </w:pPr>
            <w:r>
              <w:t xml:space="preserve">110.0620338604245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2018-08-01</w:t>
            </w:r>
          </w:p>
        </w:tc>
        <w:tc>
          <w:p>
            <w:pPr>
              <w:pStyle w:val="Compact"/>
              <w:jc w:val="left"/>
            </w:pPr>
            <w:r>
              <w:t xml:space="preserve">109.17800717197942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2018-09-01</w:t>
            </w:r>
          </w:p>
        </w:tc>
        <w:tc>
          <w:p>
            <w:pPr>
              <w:pStyle w:val="Compact"/>
              <w:jc w:val="left"/>
            </w:pPr>
            <w:r>
              <w:t xml:space="preserve">107.21406692161872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2018-10-01</w:t>
            </w:r>
          </w:p>
        </w:tc>
        <w:tc>
          <w:p>
            <w:pPr>
              <w:pStyle w:val="Compact"/>
              <w:jc w:val="left"/>
            </w:pPr>
            <w:r>
              <w:t xml:space="preserve">116.87535128874109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2018-11-01</w:t>
            </w:r>
          </w:p>
        </w:tc>
        <w:tc>
          <w:p>
            <w:pPr>
              <w:pStyle w:val="Compact"/>
              <w:jc w:val="left"/>
            </w:pPr>
            <w:r>
              <w:t xml:space="preserve">116.31087018058277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2018-12-01</w:t>
            </w:r>
          </w:p>
        </w:tc>
        <w:tc>
          <w:p>
            <w:pPr>
              <w:pStyle w:val="Compact"/>
              <w:jc w:val="left"/>
            </w:pPr>
            <w:r>
              <w:t xml:space="preserve">126.06222888369794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2019-01-01</w:t>
            </w:r>
          </w:p>
        </w:tc>
        <w:tc>
          <w:p>
            <w:pPr>
              <w:pStyle w:val="Compact"/>
              <w:jc w:val="left"/>
            </w:pPr>
            <w:r>
              <w:t xml:space="preserve">113.29309922383865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2019-02-01</w:t>
            </w:r>
          </w:p>
        </w:tc>
        <w:tc>
          <w:p>
            <w:pPr>
              <w:pStyle w:val="Compact"/>
              <w:jc w:val="left"/>
            </w:pPr>
            <w:r>
              <w:t xml:space="preserve">113.70692914852276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2019-03-01</w:t>
            </w:r>
          </w:p>
        </w:tc>
        <w:tc>
          <w:p>
            <w:pPr>
              <w:pStyle w:val="Compact"/>
              <w:jc w:val="left"/>
            </w:pPr>
            <w:r>
              <w:t xml:space="preserve">117.86036776248287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2019-04-01</w:t>
            </w:r>
          </w:p>
        </w:tc>
        <w:tc>
          <w:p>
            <w:pPr>
              <w:pStyle w:val="Compact"/>
              <w:jc w:val="left"/>
            </w:pPr>
            <w:r>
              <w:t xml:space="preserve">113.09928908962056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2019-05-01</w:t>
            </w:r>
          </w:p>
        </w:tc>
        <w:tc>
          <w:p>
            <w:pPr>
              <w:pStyle w:val="Compact"/>
              <w:jc w:val="left"/>
            </w:pPr>
            <w:r>
              <w:t xml:space="preserve">112.32657748458462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2019-06-01</w:t>
            </w:r>
          </w:p>
        </w:tc>
        <w:tc>
          <w:p>
            <w:pPr>
              <w:pStyle w:val="Compact"/>
              <w:jc w:val="left"/>
            </w:pPr>
            <w:r>
              <w:t xml:space="preserve">105.24225327872938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2019-07-01</w:t>
            </w:r>
          </w:p>
        </w:tc>
        <w:tc>
          <w:p>
            <w:pPr>
              <w:pStyle w:val="Compact"/>
              <w:jc w:val="left"/>
            </w:pPr>
            <w:r>
              <w:t xml:space="preserve">111.1201389611149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2019-08-01</w:t>
            </w:r>
          </w:p>
        </w:tc>
        <w:tc>
          <w:p>
            <w:pPr>
              <w:pStyle w:val="Compact"/>
              <w:jc w:val="left"/>
            </w:pPr>
            <w:r>
              <w:t xml:space="preserve">110.68339351393001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2019-09-01</w:t>
            </w:r>
          </w:p>
        </w:tc>
        <w:tc>
          <w:p>
            <w:pPr>
              <w:pStyle w:val="Compact"/>
              <w:jc w:val="left"/>
            </w:pPr>
            <w:r>
              <w:t xml:space="preserve">114.6127877999437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2019-10-01</w:t>
            </w:r>
          </w:p>
        </w:tc>
        <w:tc>
          <w:p>
            <w:pPr>
              <w:pStyle w:val="Compact"/>
              <w:jc w:val="left"/>
            </w:pPr>
            <w:r>
              <w:t xml:space="preserve">123.13483589286808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2019-11-01</w:t>
            </w:r>
          </w:p>
        </w:tc>
        <w:tc>
          <w:p>
            <w:pPr>
              <w:pStyle w:val="Compact"/>
              <w:jc w:val="left"/>
            </w:pPr>
            <w:r>
              <w:t xml:space="preserve">118.92020078073867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2019-12-01</w:t>
            </w:r>
          </w:p>
        </w:tc>
        <w:tc>
          <w:p>
            <w:pPr>
              <w:pStyle w:val="Compact"/>
              <w:jc w:val="left"/>
            </w:pPr>
            <w:r>
              <w:t xml:space="preserve">131.49808562188508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2020-01-01</w:t>
            </w:r>
          </w:p>
        </w:tc>
        <w:tc>
          <w:p>
            <w:pPr>
              <w:pStyle w:val="Compact"/>
              <w:jc w:val="left"/>
            </w:pPr>
            <w:r>
              <w:t xml:space="preserve">118.98530018289271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2020-02-01</w:t>
            </w:r>
          </w:p>
        </w:tc>
        <w:tc>
          <w:p>
            <w:pPr>
              <w:pStyle w:val="Compact"/>
              <w:jc w:val="left"/>
            </w:pPr>
            <w:r>
              <w:t xml:space="preserve">122.56492593591724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2020-03-01</w:t>
            </w:r>
          </w:p>
        </w:tc>
        <w:tc>
          <w:p>
            <w:pPr>
              <w:pStyle w:val="Compact"/>
              <w:jc w:val="left"/>
            </w:pPr>
            <w:r>
              <w:t xml:space="preserve">119.01685179559705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2020-04-01</w:t>
            </w:r>
          </w:p>
        </w:tc>
        <w:tc>
          <w:p>
            <w:pPr>
              <w:pStyle w:val="Compact"/>
              <w:jc w:val="left"/>
            </w:pPr>
            <w:r>
              <w:t xml:space="preserve">97.78197979678205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2020-05-01</w:t>
            </w:r>
          </w:p>
        </w:tc>
        <w:tc>
          <w:p>
            <w:pPr>
              <w:pStyle w:val="Compact"/>
              <w:jc w:val="left"/>
            </w:pPr>
            <w:r>
              <w:t xml:space="preserve">104.97722022449719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2020-06-01</w:t>
            </w:r>
          </w:p>
        </w:tc>
        <w:tc>
          <w:p>
            <w:pPr>
              <w:pStyle w:val="Compact"/>
              <w:jc w:val="left"/>
            </w:pPr>
            <w:r>
              <w:t xml:space="preserve">107.68991821391847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2020-07-01</w:t>
            </w:r>
          </w:p>
        </w:tc>
        <w:tc>
          <w:p>
            <w:pPr>
              <w:pStyle w:val="Compact"/>
              <w:jc w:val="left"/>
            </w:pPr>
            <w:r>
              <w:t xml:space="preserve">111.68035028266853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2020-08-01</w:t>
            </w:r>
          </w:p>
        </w:tc>
        <w:tc>
          <w:p>
            <w:pPr>
              <w:pStyle w:val="Compact"/>
              <w:jc w:val="left"/>
            </w:pPr>
            <w:r>
              <w:t xml:space="preserve">108.45156547418298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2020-09-01</w:t>
            </w:r>
          </w:p>
        </w:tc>
        <w:tc>
          <w:p>
            <w:pPr>
              <w:pStyle w:val="Compact"/>
              <w:jc w:val="left"/>
            </w:pPr>
            <w:r>
              <w:t xml:space="preserve">112.66331042772445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2020-10-01</w:t>
            </w:r>
          </w:p>
        </w:tc>
        <w:tc>
          <w:p>
            <w:pPr>
              <w:pStyle w:val="Compact"/>
              <w:jc w:val="left"/>
            </w:pPr>
            <w:r>
              <w:t xml:space="preserve">123.21285604030263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2020-11-01</w:t>
            </w:r>
          </w:p>
        </w:tc>
        <w:tc>
          <w:p>
            <w:pPr>
              <w:pStyle w:val="Compact"/>
              <w:jc w:val="left"/>
            </w:pPr>
            <w:r>
              <w:t xml:space="preserve">120.13599937199852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2020-12-01</w:t>
            </w:r>
          </w:p>
        </w:tc>
        <w:tc>
          <w:p>
            <w:pPr>
              <w:pStyle w:val="Compact"/>
              <w:jc w:val="left"/>
            </w:pPr>
            <w:r>
              <w:t xml:space="preserve">133.9598988596978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2021-01-01</w:t>
            </w:r>
          </w:p>
        </w:tc>
        <w:tc>
          <w:p>
            <w:pPr>
              <w:pStyle w:val="Compact"/>
              <w:jc w:val="left"/>
            </w:pPr>
            <w:r>
              <w:t xml:space="preserve">112.18918008785354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2021-02-01</w:t>
            </w:r>
          </w:p>
        </w:tc>
        <w:tc>
          <w:p>
            <w:pPr>
              <w:pStyle w:val="Compact"/>
              <w:jc w:val="left"/>
            </w:pPr>
            <w:r>
              <w:t xml:space="preserve">122.06378693651513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2021-03-01</w:t>
            </w:r>
          </w:p>
        </w:tc>
        <w:tc>
          <w:p>
            <w:pPr>
              <w:pStyle w:val="Compact"/>
              <w:jc w:val="left"/>
            </w:pPr>
            <w:r>
              <w:t xml:space="preserve">129.31035258895895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2021-04-01</w:t>
            </w:r>
          </w:p>
        </w:tc>
        <w:tc>
          <w:p>
            <w:pPr>
              <w:pStyle w:val="Compact"/>
              <w:jc w:val="left"/>
            </w:pPr>
            <w:r>
              <w:t xml:space="preserve">118.5845398964249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2021-05-01</w:t>
            </w:r>
          </w:p>
        </w:tc>
        <w:tc>
          <w:p>
            <w:pPr>
              <w:pStyle w:val="Compact"/>
              <w:jc w:val="left"/>
            </w:pPr>
            <w:r>
              <w:t xml:space="preserve">118.41959287329904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2021-06-01</w:t>
            </w:r>
          </w:p>
        </w:tc>
        <w:tc>
          <w:p>
            <w:pPr>
              <w:pStyle w:val="Compact"/>
              <w:jc w:val="left"/>
            </w:pPr>
            <w:r>
              <w:t xml:space="preserve">115.39593111772305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2021-07-01</w:t>
            </w:r>
          </w:p>
        </w:tc>
        <w:tc>
          <w:p>
            <w:pPr>
              <w:pStyle w:val="Compact"/>
              <w:jc w:val="left"/>
            </w:pPr>
            <w:r>
              <w:t xml:space="preserve">115.3233046743849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2021-08-01</w:t>
            </w:r>
          </w:p>
        </w:tc>
        <w:tc>
          <w:p>
            <w:pPr>
              <w:pStyle w:val="Compact"/>
              <w:jc w:val="left"/>
            </w:pPr>
            <w:r>
              <w:t xml:space="preserve">112.58214589781157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2021-09-01</w:t>
            </w:r>
          </w:p>
        </w:tc>
        <w:tc>
          <w:p>
            <w:pPr>
              <w:pStyle w:val="Compact"/>
              <w:jc w:val="left"/>
            </w:pPr>
            <w:r>
              <w:t xml:space="preserve">115.59035501032912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2021-10-01</w:t>
            </w:r>
          </w:p>
        </w:tc>
        <w:tc>
          <w:p>
            <w:pPr>
              <w:pStyle w:val="Compact"/>
              <w:jc w:val="left"/>
            </w:pPr>
            <w:r>
              <w:t xml:space="preserve">121.0916330017977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2021-11-01</w:t>
            </w:r>
          </w:p>
        </w:tc>
        <w:tc>
          <w:p>
            <w:pPr>
              <w:pStyle w:val="Compact"/>
              <w:jc w:val="left"/>
            </w:pPr>
            <w:r>
              <w:t xml:space="preserve">122.4019804781519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2021-12-01</w:t>
            </w:r>
          </w:p>
        </w:tc>
        <w:tc>
          <w:p>
            <w:pPr>
              <w:pStyle w:val="Compact"/>
              <w:jc w:val="left"/>
            </w:pPr>
            <w:r>
              <w:t xml:space="preserve">140.3823887998605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2022-01-01</w:t>
            </w:r>
          </w:p>
        </w:tc>
        <w:tc>
          <w:p>
            <w:pPr>
              <w:pStyle w:val="Compact"/>
              <w:jc w:val="left"/>
            </w:pPr>
            <w:r>
              <w:t xml:space="preserve">115.64432808408941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2022-02-01</w:t>
            </w:r>
          </w:p>
        </w:tc>
        <w:tc>
          <w:p>
            <w:pPr>
              <w:pStyle w:val="Compact"/>
              <w:jc w:val="left"/>
            </w:pPr>
            <w:r>
              <w:t xml:space="preserve">116.77846778552158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2022-03-01</w:t>
            </w:r>
          </w:p>
        </w:tc>
        <w:tc>
          <w:p>
            <w:pPr>
              <w:pStyle w:val="Compact"/>
              <w:jc w:val="left"/>
            </w:pPr>
            <w:r>
              <w:t xml:space="preserve">124.92914498698036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2022-04-01</w:t>
            </w:r>
          </w:p>
        </w:tc>
        <w:tc>
          <w:p>
            <w:pPr>
              <w:pStyle w:val="Compact"/>
              <w:jc w:val="left"/>
            </w:pPr>
            <w:r>
              <w:t xml:space="preserve">111.77641477124862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2022-05-01</w:t>
            </w:r>
          </w:p>
        </w:tc>
        <w:tc>
          <w:p>
            <w:pPr>
              <w:pStyle w:val="Compact"/>
              <w:jc w:val="left"/>
            </w:pPr>
            <w:r>
              <w:t xml:space="preserve">113.72465967122461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2022-06-01</w:t>
            </w:r>
          </w:p>
        </w:tc>
        <w:tc>
          <w:p>
            <w:pPr>
              <w:pStyle w:val="Compact"/>
              <w:jc w:val="left"/>
            </w:pPr>
            <w:r>
              <w:t xml:space="preserve">112.28571265662713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2022-07-01</w:t>
            </w:r>
          </w:p>
        </w:tc>
        <w:tc>
          <w:p>
            <w:pPr>
              <w:pStyle w:val="Compact"/>
              <w:jc w:val="left"/>
            </w:pPr>
            <w:r>
              <w:t xml:space="preserve">113.40469574314403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2022-08-01</w:t>
            </w:r>
          </w:p>
        </w:tc>
        <w:tc>
          <w:p>
            <w:pPr>
              <w:pStyle w:val="Compact"/>
              <w:jc w:val="left"/>
            </w:pPr>
            <w:r>
              <w:t xml:space="preserve">118.77162953023218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2022-09-01</w:t>
            </w:r>
          </w:p>
        </w:tc>
        <w:tc>
          <w:p>
            <w:pPr>
              <w:pStyle w:val="Compact"/>
              <w:jc w:val="left"/>
            </w:pPr>
            <w:r>
              <w:t xml:space="preserve">119.81018554288491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2022-10-01</w:t>
            </w:r>
          </w:p>
        </w:tc>
        <w:tc>
          <w:p>
            <w:pPr>
              <w:pStyle w:val="Compact"/>
              <w:jc w:val="left"/>
            </w:pPr>
            <w:r>
              <w:t xml:space="preserve">122.23053011684722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2022-11-01</w:t>
            </w:r>
          </w:p>
        </w:tc>
        <w:tc>
          <w:p>
            <w:pPr>
              <w:pStyle w:val="Compact"/>
              <w:jc w:val="left"/>
            </w:pPr>
            <w:r>
              <w:t xml:space="preserve">123.91530002417865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2022-12-01</w:t>
            </w:r>
          </w:p>
        </w:tc>
        <w:tc>
          <w:p>
            <w:pPr>
              <w:pStyle w:val="Compact"/>
              <w:jc w:val="left"/>
            </w:pPr>
            <w:r>
              <w:t xml:space="preserve">139.85880285447237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2023-01-01</w:t>
            </w:r>
          </w:p>
        </w:tc>
        <w:tc>
          <w:p>
            <w:pPr>
              <w:pStyle w:val="Compact"/>
              <w:jc w:val="left"/>
            </w:pPr>
            <w:r>
              <w:t xml:space="preserve">119.69785337355275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2023-02-01</w:t>
            </w:r>
          </w:p>
        </w:tc>
        <w:tc>
          <w:p>
            <w:pPr>
              <w:pStyle w:val="Compact"/>
              <w:jc w:val="left"/>
            </w:pPr>
            <w:r>
              <w:t xml:space="preserve">123.28859683212274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2023-03-01</w:t>
            </w:r>
          </w:p>
        </w:tc>
        <w:tc>
          <w:p>
            <w:pPr>
              <w:pStyle w:val="Compact"/>
              <w:jc w:val="left"/>
            </w:pPr>
            <w:r>
              <w:t xml:space="preserve">135.87749538616376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2023-04-01</w:t>
            </w:r>
          </w:p>
        </w:tc>
        <w:tc>
          <w:p>
            <w:pPr>
              <w:pStyle w:val="Compact"/>
              <w:jc w:val="left"/>
            </w:pPr>
            <w:r>
              <w:t xml:space="preserve">120.00893441513934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2023-05-01</w:t>
            </w:r>
          </w:p>
        </w:tc>
        <w:tc>
          <w:p>
            <w:pPr>
              <w:pStyle w:val="Compact"/>
              <w:jc w:val="left"/>
            </w:pPr>
            <w:r>
              <w:t xml:space="preserve">122.01042009383649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2023-06-01</w:t>
            </w:r>
          </w:p>
        </w:tc>
        <w:tc>
          <w:p>
            <w:pPr>
              <w:pStyle w:val="Compact"/>
              <w:jc w:val="left"/>
            </w:pPr>
            <w:r>
              <w:t xml:space="preserve">117.84684497460651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2023-07-01</w:t>
            </w:r>
          </w:p>
        </w:tc>
        <w:tc>
          <w:p>
            <w:pPr>
              <w:pStyle w:val="Compact"/>
              <w:jc w:val="left"/>
            </w:pPr>
            <w:r>
              <w:t xml:space="preserve">121.49798781186644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2023-08-01</w:t>
            </w:r>
          </w:p>
        </w:tc>
        <w:tc>
          <w:p>
            <w:pPr>
              <w:pStyle w:val="Compact"/>
              <w:jc w:val="left"/>
            </w:pPr>
            <w:r>
              <w:t xml:space="preserve">123.70329675608072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2023-09-01</w:t>
            </w:r>
          </w:p>
        </w:tc>
        <w:tc>
          <w:p>
            <w:pPr>
              <w:pStyle w:val="Compact"/>
              <w:jc w:val="left"/>
            </w:pPr>
            <w:r>
              <w:t xml:space="preserve">120.96133852112172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2023-10-01</w:t>
            </w:r>
          </w:p>
        </w:tc>
        <w:tc>
          <w:p>
            <w:pPr>
              <w:pStyle w:val="Compact"/>
              <w:jc w:val="left"/>
            </w:pPr>
            <w:r>
              <w:t xml:space="preserve">131.64209248067928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2023-11-01</w:t>
            </w:r>
          </w:p>
        </w:tc>
        <w:tc>
          <w:p>
            <w:pPr>
              <w:pStyle w:val="Compact"/>
              <w:jc w:val="left"/>
            </w:pPr>
            <w:r>
              <w:t xml:space="preserve">126.83390485041254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2023-12-01</w:t>
            </w:r>
          </w:p>
        </w:tc>
        <w:tc>
          <w:p>
            <w:pPr>
              <w:pStyle w:val="Compact"/>
              <w:jc w:val="left"/>
            </w:pPr>
            <w:r>
              <w:t xml:space="preserve">147.16259828806147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2024-01-01</w:t>
            </w:r>
          </w:p>
        </w:tc>
        <w:tc>
          <w:p>
            <w:pPr>
              <w:pStyle w:val="Compact"/>
              <w:jc w:val="left"/>
            </w:pPr>
            <w:r>
              <w:t xml:space="preserve">127.2625532525719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2024-02-01</w:t>
            </w:r>
          </w:p>
        </w:tc>
        <w:tc>
          <w:p>
            <w:pPr>
              <w:pStyle w:val="Compact"/>
              <w:jc w:val="left"/>
            </w:pPr>
            <w:r>
              <w:t xml:space="preserve">131.8453131395256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2024-03-01</w:t>
            </w:r>
          </w:p>
        </w:tc>
        <w:tc>
          <w:p>
            <w:pPr>
              <w:pStyle w:val="Compact"/>
              <w:jc w:val="left"/>
            </w:pPr>
            <w:r>
              <w:t xml:space="preserve">136.71065743032582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2024-04-01</w:t>
            </w:r>
          </w:p>
        </w:tc>
        <w:tc>
          <w:p>
            <w:pPr>
              <w:pStyle w:val="Compact"/>
              <w:jc w:val="left"/>
            </w:pPr>
            <w:r>
              <w:t xml:space="preserve">130.9351454198566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2024-05-01</w:t>
            </w:r>
          </w:p>
        </w:tc>
        <w:tc>
          <w:p>
            <w:pPr>
              <w:pStyle w:val="Compact"/>
              <w:jc w:val="left"/>
            </w:pPr>
            <w:r>
              <w:t xml:space="preserve">126.4342965552712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2024-06-01</w:t>
            </w:r>
          </w:p>
        </w:tc>
        <w:tc>
          <w:p>
            <w:pPr>
              <w:pStyle w:val="Compact"/>
              <w:jc w:val="left"/>
            </w:pPr>
            <w:r>
              <w:t xml:space="preserve">122.84993781466908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2024-07-01</w:t>
            </w:r>
          </w:p>
        </w:tc>
        <w:tc>
          <w:p>
            <w:pPr>
              <w:pStyle w:val="Compact"/>
              <w:jc w:val="left"/>
            </w:pPr>
            <w:r>
              <w:t xml:space="preserve">128.16199355658796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2024-08-01</w:t>
            </w:r>
          </w:p>
        </w:tc>
        <w:tc>
          <w:p>
            <w:pPr>
              <w:pStyle w:val="Compact"/>
              <w:jc w:val="left"/>
            </w:pPr>
            <w:r>
              <w:t xml:space="preserve">125.36595225896141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2024-09-01</w:t>
            </w:r>
          </w:p>
        </w:tc>
        <w:tc>
          <w:p>
            <w:pPr>
              <w:pStyle w:val="Compact"/>
              <w:jc w:val="left"/>
            </w:pPr>
            <w:r>
              <w:t xml:space="preserve">125.969628087511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2024-10-01</w:t>
            </w:r>
          </w:p>
        </w:tc>
        <w:tc>
          <w:p>
            <w:pPr>
              <w:pStyle w:val="Compact"/>
              <w:jc w:val="left"/>
            </w:pPr>
            <w:r>
              <w:t xml:space="preserve">137.17762648226966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2024-11-01</w:t>
            </w:r>
          </w:p>
        </w:tc>
        <w:tc>
          <w:p>
            <w:pPr>
              <w:pStyle w:val="Compact"/>
              <w:jc w:val="left"/>
            </w:pPr>
            <w:r>
              <w:t xml:space="preserve">134.72215373750677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p>
            <w:pPr>
              <w:pStyle w:val="Compact"/>
              <w:jc w:val="left"/>
            </w:pPr>
            <w:r>
              <w:t xml:space="preserve">146.55979833984247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2025-01-01</w:t>
            </w:r>
          </w:p>
        </w:tc>
        <w:tc>
          <w:p>
            <w:pPr>
              <w:pStyle w:val="Compact"/>
              <w:jc w:val="left"/>
            </w:pPr>
            <w:r>
              <w:t xml:space="preserve">138.04970300192875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2025-02-01</w:t>
            </w:r>
          </w:p>
        </w:tc>
        <w:tc>
          <w:p>
            <w:pPr>
              <w:pStyle w:val="Compact"/>
              <w:jc w:val="left"/>
            </w:pPr>
            <w:r>
              <w:t xml:space="preserve">140.48450975517719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2025-03-01</w:t>
            </w:r>
          </w:p>
        </w:tc>
        <w:tc>
          <w:p>
            <w:pPr>
              <w:pStyle w:val="Compact"/>
              <w:jc w:val="left"/>
            </w:pPr>
            <w:r>
              <w:t xml:space="preserve">144.9337101311095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2025-04-01</w:t>
            </w:r>
          </w:p>
        </w:tc>
        <w:tc>
          <w:p>
            <w:pPr>
              <w:pStyle w:val="Compact"/>
              <w:jc w:val="left"/>
            </w:pPr>
            <w:r>
              <w:t xml:space="preserve">137.18437207472712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2025-05-01</w:t>
            </w:r>
          </w:p>
        </w:tc>
        <w:tc>
          <w:p>
            <w:pPr>
              <w:pStyle w:val="Compact"/>
              <w:jc w:val="left"/>
            </w:pPr>
            <w:r>
              <w:t xml:space="preserve">136.6189947789725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2025-06-01</w:t>
            </w:r>
          </w:p>
        </w:tc>
        <w:tc>
          <w:p>
            <w:pPr>
              <w:pStyle w:val="Compact"/>
              <w:jc w:val="left"/>
            </w:pPr>
            <w:r>
              <w:t xml:space="preserve">129.41163456857782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2025-07-01</w:t>
            </w:r>
          </w:p>
        </w:tc>
        <w:tc>
          <w:p>
            <w:pPr>
              <w:pStyle w:val="Compact"/>
              <w:jc w:val="left"/>
            </w:pPr>
            <w:r>
              <w:t xml:space="preserve">136.3024359204586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2025-08-01</w:t>
            </w:r>
          </w:p>
        </w:tc>
        <w:tc>
          <w:p>
            <w:pPr>
              <w:pStyle w:val="Compact"/>
              <w:jc w:val="left"/>
            </w:pPr>
            <w:r>
              <w:t xml:space="preserve">132.84967034645194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2025-09-01</w:t>
            </w:r>
          </w:p>
        </w:tc>
        <w:tc>
          <w:p>
            <w:pPr>
              <w:pStyle w:val="Compact"/>
              <w:jc w:val="left"/>
            </w:pPr>
            <w:r>
              <w:t xml:space="preserve">137.06392232042433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2025-10-01</w:t>
            </w:r>
          </w:p>
        </w:tc>
        <w:tc>
          <w:p>
            <w:pPr>
              <w:pStyle w:val="Compact"/>
              <w:jc w:val="left"/>
            </w:pPr>
            <w:r>
              <w:t xml:space="preserve">149.311281587361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2025-11-01</w:t>
            </w:r>
          </w:p>
        </w:tc>
        <w:tc>
          <w:p>
            <w:pPr>
              <w:pStyle w:val="Compact"/>
              <w:jc w:val="left"/>
            </w:pPr>
            <w:r>
              <w:t xml:space="preserve">143.40092567931026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p>
            <w:pPr>
              <w:pStyle w:val="Compact"/>
              <w:jc w:val="left"/>
            </w:pPr>
            <w:r>
              <w:t xml:space="preserve">158.4803138574431</w:t>
            </w:r>
          </w:p>
        </w:tc>
      </w:tr>
    </w:tbl>
    <w:p>
      <w:pPr>
        <w:pStyle w:val="Heading1"/>
      </w:pPr>
      <w:bookmarkStart w:id="34" w:name="reproducibilidad"/>
      <w:r>
        <w:t xml:space="preserve">Reproducibilidad</w:t>
      </w:r>
      <w:bookmarkEnd w:id="34"/>
    </w:p>
    <w:p>
      <w:pPr>
        <w:pStyle w:val="FirstParagraph"/>
      </w:pPr>
      <w:r>
        <w:t xml:space="preserve">Desde la raíz del repositorio: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-r requirements.txt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analizar_imaep.py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-m unittest discover -s tests -v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generar_documentos.py</w:t>
      </w:r>
    </w:p>
    <w:p>
      <w:pPr>
        <w:pStyle w:val="FirstParagraph"/>
      </w:pPr>
      <w:r>
        <w:t xml:space="preserve">El notebook</w:t>
      </w:r>
      <w:r>
        <w:t xml:space="preserve"> </w:t>
      </w:r>
      <w:r>
        <w:rPr>
          <w:rStyle w:val="VerbatimChar"/>
        </w:rPr>
        <w:t xml:space="preserve">docs/imaep_colab.ipynb</w:t>
      </w:r>
      <w:r>
        <w:t xml:space="preserve"> </w:t>
      </w:r>
      <w:r>
        <w:t xml:space="preserve">permite consultar en Google Colab los datos completos, los controles, las estadísticas y las imágenes de esta entrega.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jpg" /><Relationship Type="http://schemas.openxmlformats.org/officeDocument/2006/relationships/hyperlink" Id="rId23" Target="https://www.bcp.gov.py/web/institucional/indicador-mensual-de-actividad-economica-del-paraguay-imaep-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bcp.gov.py/web/institucional/indicador-mensual-de-actividad-economica-del-paraguay-imaep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exploratorio de la actividad económica del Paraguay mediante el IMAEP mensual, 2016-2025</dc:title>
  <dc:creator>Bruno Aguilera</dc:creator>
  <dc:language>es</dc:language>
  <cp:keywords/>
  <dcterms:created xsi:type="dcterms:W3CDTF">2026-09-19T01:47:26Z</dcterms:created>
  <dcterms:modified xsi:type="dcterms:W3CDTF">2026-09-19T01:47:26Z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septiembre de 2026</vt:lpwstr>
  </property>
  <property fmtid="{D5CDD505-2E9C-101B-9397-08002B2CF9AE}" pid="3" name="subtitle">
    <vt:lpwstr>Trabajo práctico - Primera entrega</vt:lpwstr>
  </property>
  <property fmtid="{D5CDD505-2E9C-101B-9397-08002B2CF9AE}" pid="4" name="toc">
    <vt:lpwstr>True</vt:lpwstr>
  </property>
  <property fmtid="{D5CDD505-2E9C-101B-9397-08002B2CF9AE}" pid="5" name="toc-title">
    <vt:lpwstr>Índice</vt:lpwstr>
  </property>
</Properties>
</file>