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header1.xml.rels" ContentType="application/vnd.openxmlformats-package.relationship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ackground w:color="7016B7"/>
  <w:body>
    <w:p>
      <w:pPr>
        <w:pStyle w:val="Normal"/>
        <w:bidi w:val="0"/>
        <w:jc w:val="center"/>
        <w:rPr>
          <w:color w:val="FFFFFF"/>
          <w:sz w:val="40"/>
          <w:szCs w:val="40"/>
        </w:rPr>
      </w:pPr>
      <w:r>
        <w:rPr>
          <w:b/>
          <w:bCs/>
          <w:color w:val="FFFFFF"/>
          <w:sz w:val="40"/>
          <w:szCs w:val="40"/>
        </w:rPr>
        <w:t>FLUXO DE INFORMAÇÕES E DINHEIRO NO MERCADO DE PAGAMENTOS</w:t>
      </w:r>
    </w:p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center"/>
        <w:rPr>
          <w:color w:val="FFFFFF"/>
          <w:sz w:val="36"/>
          <w:szCs w:val="36"/>
        </w:rPr>
      </w:pPr>
      <w:r>
        <w:rPr>
          <w:b/>
          <w:bCs/>
          <w:color w:val="FFFFFF"/>
          <w:sz w:val="36"/>
          <w:szCs w:val="36"/>
        </w:rPr>
        <w:t>Adquirentes</w:t>
      </w:r>
    </w:p>
    <w:p>
      <w:pPr>
        <w:pStyle w:val="Normal"/>
        <w:bidi w:val="0"/>
        <w:jc w:val="both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both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both"/>
        <w:rPr>
          <w:color w:val="FFFFFF"/>
        </w:rPr>
      </w:pPr>
      <w:r>
        <w:rPr>
          <w:color w:val="FFFFFF"/>
        </w:rPr>
        <w:tab/>
      </w:r>
      <w:r>
        <w:rPr>
          <w:color w:val="FFFFFF"/>
          <w:sz w:val="28"/>
          <w:szCs w:val="28"/>
        </w:rPr>
        <w:t>São empresas que processam e liquidam transações financeiras por meios de cartões de débito e crédito. As adquirentes, também conhecidas como operadoras de cartões de crédito, se comunicam com bandeiras de cartões e bancos emissores.</w:t>
      </w:r>
    </w:p>
    <w:p>
      <w:pPr>
        <w:pStyle w:val="Normal"/>
        <w:bidi w:val="0"/>
        <w:jc w:val="both"/>
        <w:rPr>
          <w:color w:val="FFFFFF"/>
          <w:sz w:val="28"/>
          <w:szCs w:val="28"/>
        </w:rPr>
      </w:pPr>
      <w:r>
        <w:rPr>
          <w:color w:val="FFFFFF"/>
          <w:sz w:val="28"/>
          <w:szCs w:val="28"/>
        </w:rPr>
      </w:r>
    </w:p>
    <w:p>
      <w:pPr>
        <w:pStyle w:val="Normal"/>
        <w:bidi w:val="0"/>
        <w:jc w:val="both"/>
        <w:rPr>
          <w:color w:val="FFFFFF"/>
          <w:sz w:val="28"/>
          <w:szCs w:val="28"/>
        </w:rPr>
      </w:pPr>
      <w:r>
        <w:rPr>
          <w:color w:val="FFFFFF"/>
          <w:sz w:val="28"/>
          <w:szCs w:val="28"/>
        </w:rPr>
        <w:tab/>
        <w:t>Nos comércios físicos a adquirente é contratada diretamente pelo lojista a quem será fornecida a maquininha de cartão.</w:t>
      </w:r>
    </w:p>
    <w:p>
      <w:pPr>
        <w:pStyle w:val="Normal"/>
        <w:bidi w:val="0"/>
        <w:jc w:val="both"/>
        <w:rPr>
          <w:color w:val="FFFFFF"/>
          <w:sz w:val="28"/>
          <w:szCs w:val="28"/>
        </w:rPr>
      </w:pPr>
      <w:r>
        <w:rPr>
          <w:color w:val="FFFFFF"/>
          <w:sz w:val="28"/>
          <w:szCs w:val="28"/>
        </w:rPr>
      </w:r>
    </w:p>
    <w:p>
      <w:pPr>
        <w:pStyle w:val="Normal"/>
        <w:bidi w:val="0"/>
        <w:jc w:val="left"/>
        <w:rPr>
          <w:color w:val="FFFFFF"/>
          <w:sz w:val="28"/>
          <w:szCs w:val="28"/>
        </w:rPr>
      </w:pPr>
      <w:r>
        <w:rPr>
          <w:color w:val="FFFFFF"/>
          <w:sz w:val="28"/>
          <w:szCs w:val="28"/>
        </w:rPr>
        <w:tab/>
        <w:t>No “e-commerce” esta tecnologia também pode ser contratada. Entretanto, esta solução não é a mais adequada para este modelo de negócio. O ideal é que seja contratada uma solução que faça a mediação com a adquirente, que é o caso da subadquirente, do gateway e do PSP.</w:t>
      </w:r>
    </w:p>
    <w:p>
      <w:pPr>
        <w:pStyle w:val="Normal"/>
        <w:bidi w:val="0"/>
        <w:jc w:val="left"/>
        <w:rPr>
          <w:color w:val="FFFFFF"/>
          <w:sz w:val="28"/>
          <w:szCs w:val="28"/>
        </w:rPr>
      </w:pPr>
      <w:r>
        <w:rPr>
          <w:color w:val="FFFFFF"/>
          <w:sz w:val="28"/>
          <w:szCs w:val="28"/>
        </w:rPr>
      </w:r>
    </w:p>
    <w:p>
      <w:pPr>
        <w:pStyle w:val="Normal"/>
        <w:numPr>
          <w:ilvl w:val="0"/>
          <w:numId w:val="1"/>
        </w:numPr>
        <w:bidi w:val="0"/>
        <w:jc w:val="left"/>
        <w:rPr>
          <w:color w:val="FFFFFF"/>
        </w:rPr>
      </w:pPr>
      <w:r>
        <w:rPr>
          <w:color w:val="FFFFFF"/>
          <w:sz w:val="28"/>
          <w:szCs w:val="28"/>
        </w:rPr>
        <w:t>Fluxo de dinheiro: Quando a compra é aprovada, a adquirente recebe o dinheiro do banco e repassa ao comerciante no prazo contratual (normalmente, de até 31 dias). As taxas são cobradas sobre as transações realizadas e podem variar de 3% a 6%.</w:t>
      </w:r>
    </w:p>
    <w:p>
      <w:pPr>
        <w:pStyle w:val="Normal"/>
        <w:bidi w:val="0"/>
        <w:jc w:val="left"/>
        <w:rPr>
          <w:color w:val="FFFFFF"/>
        </w:rPr>
      </w:pPr>
      <w:r>
        <w:rPr>
          <w:color w:val="FFFFFF"/>
        </w:rPr>
      </w:r>
    </w:p>
    <w:p>
      <w:pPr>
        <w:pStyle w:val="Normal"/>
        <w:bidi w:val="0"/>
        <w:jc w:val="left"/>
        <w:rPr>
          <w:color w:val="FFFFFF"/>
        </w:rPr>
      </w:pPr>
      <w:r>
        <w:rPr>
          <w:color w:val="FFFFFF"/>
        </w:rPr>
      </w:r>
    </w:p>
    <w:p>
      <w:pPr>
        <w:pStyle w:val="Normal"/>
        <w:bidi w:val="0"/>
        <w:jc w:val="center"/>
        <w:rPr>
          <w:color w:val="FFFFFF"/>
          <w:sz w:val="36"/>
          <w:szCs w:val="36"/>
        </w:rPr>
      </w:pPr>
      <w:r>
        <w:rPr>
          <w:b/>
          <w:bCs/>
          <w:color w:val="FFFFFF"/>
          <w:sz w:val="36"/>
          <w:szCs w:val="36"/>
        </w:rPr>
        <w:t>Subadquirentes</w:t>
      </w:r>
    </w:p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both"/>
        <w:rPr>
          <w:color w:val="FFFFFF"/>
        </w:rPr>
      </w:pPr>
      <w:r>
        <w:rPr>
          <w:color w:val="FFFFFF"/>
        </w:rPr>
        <w:tab/>
      </w:r>
      <w:r>
        <w:rPr>
          <w:color w:val="FFFFFF"/>
          <w:sz w:val="28"/>
          <w:szCs w:val="28"/>
        </w:rPr>
        <w:t>Funcionam como uma intermediadora de pagamentos. Ela é habilitada pelas adquirentes para fazer a conexão entre os clientes, lojistas, bandeiras e bancos emissores. Ela é responsável por transmitir os dados da transação à adquirente e liquidar os recebíveis junto ao varejista. Sua integração às lojas virtuais é mais simples em virtude do “plug and play”. Basta contratar e começar a usar os serviços. São oferecidos serviços complementares vitais para transações online, como o antifraude.</w:t>
      </w:r>
    </w:p>
    <w:p>
      <w:pPr>
        <w:pStyle w:val="Normal"/>
        <w:bidi w:val="0"/>
        <w:jc w:val="left"/>
        <w:rPr>
          <w:color w:val="FFFFFF"/>
          <w:sz w:val="28"/>
          <w:szCs w:val="28"/>
        </w:rPr>
      </w:pPr>
      <w:r>
        <w:rPr>
          <w:color w:val="FFFFFF"/>
          <w:sz w:val="28"/>
          <w:szCs w:val="28"/>
        </w:rPr>
      </w:r>
    </w:p>
    <w:p>
      <w:pPr>
        <w:pStyle w:val="Normal"/>
        <w:numPr>
          <w:ilvl w:val="0"/>
          <w:numId w:val="1"/>
        </w:numPr>
        <w:bidi w:val="0"/>
        <w:jc w:val="left"/>
        <w:rPr>
          <w:color w:val="FFFFFF"/>
          <w:sz w:val="28"/>
          <w:szCs w:val="28"/>
        </w:rPr>
      </w:pPr>
      <w:r>
        <w:rPr>
          <w:color w:val="FFFFFF"/>
          <w:sz w:val="28"/>
          <w:szCs w:val="28"/>
        </w:rPr>
        <w:t>O Fluxo de dinheiro é semelhante às adquirentes.</w:t>
      </w:r>
    </w:p>
    <w:p>
      <w:pPr>
        <w:pStyle w:val="Normal"/>
        <w:bidi w:val="0"/>
        <w:jc w:val="left"/>
        <w:rPr>
          <w:color w:val="FFFFFF"/>
        </w:rPr>
      </w:pPr>
      <w:r>
        <w:rPr>
          <w:color w:val="FFFFFF"/>
        </w:rPr>
      </w:r>
    </w:p>
    <w:p>
      <w:pPr>
        <w:pStyle w:val="Normal"/>
        <w:bidi w:val="0"/>
        <w:jc w:val="left"/>
        <w:rPr>
          <w:color w:val="FFFFFF"/>
        </w:rPr>
      </w:pPr>
      <w:r>
        <w:rPr>
          <w:color w:val="FFFFFF"/>
        </w:rPr>
      </w:r>
    </w:p>
    <w:p>
      <w:pPr>
        <w:pStyle w:val="Normal"/>
        <w:bidi w:val="0"/>
        <w:jc w:val="center"/>
        <w:rPr>
          <w:color w:val="FFFFFF"/>
          <w:sz w:val="36"/>
          <w:szCs w:val="36"/>
        </w:rPr>
      </w:pPr>
      <w:r>
        <w:rPr/>
      </w:r>
    </w:p>
    <w:p>
      <w:pPr>
        <w:pStyle w:val="Normal"/>
        <w:bidi w:val="0"/>
        <w:jc w:val="center"/>
        <w:rPr>
          <w:color w:val="FFFFFF"/>
          <w:sz w:val="36"/>
          <w:szCs w:val="36"/>
        </w:rPr>
      </w:pPr>
      <w:r>
        <w:rPr>
          <w:b/>
          <w:bCs/>
          <w:color w:val="FFFFFF"/>
          <w:sz w:val="36"/>
          <w:szCs w:val="36"/>
        </w:rPr>
        <w:t>Gateways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color w:val="FFFFFF"/>
        </w:rPr>
      </w:pPr>
      <w:r>
        <w:rPr>
          <w:color w:val="FFFFFF"/>
        </w:rPr>
        <w:tab/>
      </w:r>
      <w:r>
        <w:rPr>
          <w:color w:val="FFFFFF"/>
          <w:sz w:val="28"/>
          <w:szCs w:val="28"/>
        </w:rPr>
        <w:t>Funciona como uma ponte que transporta informações entre comerciantes, adquirentes e bancos emissores. Seu papel é processar os dados no momento em que a compra é finalizada. Ele é completamente customizável, com possibilidade de integração com uma ou mais adquirentes, com vouchers, além de boletos bancários e sistemas de antifraude.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left"/>
        <w:rPr>
          <w:color w:val="FFFFFF"/>
          <w:sz w:val="28"/>
          <w:szCs w:val="28"/>
        </w:rPr>
      </w:pPr>
      <w:r>
        <w:rPr>
          <w:color w:val="FFFFFF"/>
          <w:sz w:val="28"/>
          <w:szCs w:val="28"/>
        </w:rPr>
      </w:r>
    </w:p>
    <w:p>
      <w:pPr>
        <w:pStyle w:val="Normal"/>
        <w:numPr>
          <w:ilvl w:val="0"/>
          <w:numId w:val="1"/>
        </w:numPr>
        <w:bidi w:val="0"/>
        <w:jc w:val="left"/>
        <w:rPr>
          <w:color w:val="FFFFFF"/>
          <w:sz w:val="28"/>
          <w:szCs w:val="28"/>
        </w:rPr>
      </w:pPr>
      <w:r>
        <w:rPr>
          <w:color w:val="FFFFFF"/>
          <w:sz w:val="28"/>
          <w:szCs w:val="28"/>
        </w:rPr>
        <w:t>Fluxo de dinheiro: A cobrança é feita com base no recebimento por volume de transações, além de um piso mínimo mensal, bem como o custo de implementação.</w:t>
      </w:r>
    </w:p>
    <w:p>
      <w:pPr>
        <w:pStyle w:val="Normal"/>
        <w:bidi w:val="0"/>
        <w:jc w:val="left"/>
        <w:rPr>
          <w:color w:val="FFFFFF"/>
          <w:sz w:val="28"/>
          <w:szCs w:val="28"/>
        </w:rPr>
      </w:pPr>
      <w:r>
        <w:rPr/>
      </w:r>
    </w:p>
    <w:sectPr>
      <w:headerReference w:type="default" r:id="rId2"/>
      <w:type w:val="nextPage"/>
      <w:pgSz w:w="12240" w:h="15840"/>
      <w:pgMar w:left="1134" w:right="1134" w:header="1134" w:top="1969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alho"/>
      <w:bidi w:val="0"/>
      <w:jc w:val="left"/>
      <w:rPr/>
    </w:pPr>
    <w:r>
      <w:rPr/>
      <w:drawing>
        <wp:anchor behindDoc="1" distT="0" distB="0" distL="0" distR="0" simplePos="0" locked="0" layoutInCell="1" allowOverlap="1" relativeHeight="3">
          <wp:simplePos x="0" y="0"/>
          <wp:positionH relativeFrom="column">
            <wp:posOffset>-10160</wp:posOffset>
          </wp:positionH>
          <wp:positionV relativeFrom="paragraph">
            <wp:posOffset>-360680</wp:posOffset>
          </wp:positionV>
          <wp:extent cx="1428750" cy="352425"/>
          <wp:effectExtent l="0" t="0" r="0" b="0"/>
          <wp:wrapSquare wrapText="largest"/>
          <wp:docPr id="1" name="Figura1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Figura1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524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>
    <w:pPr>
      <w:pStyle w:val="Cabealho"/>
      <w:bidi w:val="0"/>
      <w:jc w:val="left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50"/>
  <w:displayBackgroundShape/>
  <w:defaultTabStop w:val="709"/>
  <w:autoHyphenation w:val="tru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fals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character" w:styleId="Marcas">
    <w:name w:val="Marca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  <w:style w:type="paragraph" w:styleId="CabealhoeRodap">
    <w:name w:val="Cabeçalho e Rodapé"/>
    <w:basedOn w:val="Normal"/>
    <w:qFormat/>
    <w:pPr>
      <w:suppressLineNumbers/>
      <w:tabs>
        <w:tab w:val="clear" w:pos="709"/>
        <w:tab w:val="center" w:pos="4986" w:leader="none"/>
        <w:tab w:val="right" w:pos="9972" w:leader="none"/>
      </w:tabs>
    </w:pPr>
    <w:rPr/>
  </w:style>
  <w:style w:type="paragraph" w:styleId="Cabealho">
    <w:name w:val="Header"/>
    <w:basedOn w:val="CabealhoeRodap"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1.png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LibreOffice/6.4.7.2$Linux_X86_64 LibreOffice_project/40$Build-2</Application>
  <Pages>2</Pages>
  <Words>316</Words>
  <Characters>1677</Characters>
  <CharactersWithSpaces>1983</CharactersWithSpaces>
  <Paragraphs>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2022-03-21T16:32:39Z</dcterms:created>
  <dc:creator/>
  <dc:description/>
  <dc:language>pt-BR</dc:language>
  <cp:lastModifiedBy/>
  <dcterms:modified xsi:type="dcterms:W3CDTF">2022-03-21T16:33:09Z</dcterms:modified>
  <cp:revision>3</cp:revision>
  <dc:subject/>
  <dc:title/>
</cp:coreProperties>
</file>