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6"/>
        <w:gridCol w:w="4536"/>
      </w:tblGrid>
      <w:tr>
        <w:tc>
          <w:tcPr>
            <w:tcW w:type="dxa" w:w="3168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0080" cy="960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p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68"/>
          </w:tcPr>
          <w:p>
            <w:pPr>
              <w:spacing w:before="16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074355" cy="685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oli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355" cy="685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80" w:after="60" w:line="300" w:lineRule="auto"/>
        <w:jc w:val="center"/>
      </w:pPr>
      <w:r>
        <w:rPr>
          <w:rFonts w:ascii="Arial" w:hAnsi="Arial"/>
          <w:b/>
          <w:sz w:val="24"/>
        </w:rPr>
        <w:t>UNIVERSIDADE DE PERNAMBUCO</w:t>
        <w:br/>
      </w:r>
      <w:r>
        <w:rPr>
          <w:rFonts w:ascii="Arial" w:hAnsi="Arial"/>
          <w:b/>
          <w:sz w:val="23"/>
        </w:rPr>
        <w:t>ESCOLA POLITÉCNICA DE PERNAMBUCO - POLI</w:t>
        <w:br/>
      </w:r>
      <w:r>
        <w:rPr>
          <w:rFonts w:ascii="Arial" w:hAnsi="Arial"/>
          <w:i/>
          <w:sz w:val="22"/>
        </w:rPr>
        <w:t>CAMPUS RECIFE</w:t>
        <w:br/>
      </w:r>
      <w:r>
        <w:rPr>
          <w:rFonts w:ascii="Arial" w:hAnsi="Arial"/>
          <w:b/>
          <w:sz w:val="22"/>
        </w:rPr>
        <w:t>CURSO DE ENGENHARIA DA COMPUTAÇÃO</w:t>
        <w:br/>
      </w:r>
      <w:r>
        <w:rPr>
          <w:rFonts w:ascii="Arial" w:hAnsi="Arial"/>
          <w:sz w:val="21"/>
        </w:rPr>
        <w:t>DISCIPLINA: MINERAÇÃO DE DADOS</w:t>
        <w:br/>
      </w:r>
      <w:r>
        <w:rPr>
          <w:rFonts w:ascii="Arial" w:hAnsi="Arial"/>
          <w:b/>
          <w:sz w:val="21"/>
        </w:rPr>
        <w:t>PROFESSOR: PROF. DR. ALEXANDRE MACIEL</w:t>
      </w:r>
    </w:p>
    <w:p>
      <w:pPr>
        <w:spacing w:before="1100" w:after="0" w:line="324" w:lineRule="auto"/>
        <w:jc w:val="center"/>
      </w:pPr>
      <w:r>
        <w:rPr>
          <w:rFonts w:ascii="Arial" w:hAnsi="Arial"/>
          <w:b/>
          <w:sz w:val="23"/>
        </w:rPr>
        <w:t>BRUNO PROTÁSIO</w:t>
        <w:br/>
      </w:r>
      <w:r>
        <w:rPr>
          <w:rFonts w:ascii="Arial" w:hAnsi="Arial"/>
          <w:b/>
          <w:sz w:val="23"/>
        </w:rPr>
        <w:t>DANIEL MENESES</w:t>
        <w:br/>
      </w:r>
      <w:r>
        <w:rPr>
          <w:rFonts w:ascii="Arial" w:hAnsi="Arial"/>
          <w:b/>
          <w:sz w:val="23"/>
        </w:rPr>
        <w:t>MARCUS VINICIUS</w:t>
        <w:br/>
      </w:r>
      <w:r>
        <w:rPr>
          <w:rFonts w:ascii="Arial" w:hAnsi="Arial"/>
          <w:b/>
          <w:sz w:val="23"/>
        </w:rPr>
        <w:t>VINICYUS EMANUEL</w:t>
      </w:r>
    </w:p>
    <w:p>
      <w:pPr>
        <w:spacing w:before="1500" w:after="0" w:line="300" w:lineRule="auto"/>
        <w:jc w:val="center"/>
      </w:pPr>
      <w:r>
        <w:rPr>
          <w:rFonts w:ascii="Arial" w:hAnsi="Arial"/>
          <w:b/>
          <w:sz w:val="27"/>
        </w:rPr>
        <w:t>MINERAÇÃO DE SÉRIES TEMPORAIS PARA PREVISÃO DA INFLAÇÃO:</w:t>
        <w:br/>
      </w:r>
      <w:r>
        <w:rPr>
          <w:rFonts w:ascii="Arial" w:hAnsi="Arial"/>
          <w:b/>
          <w:sz w:val="25"/>
        </w:rPr>
        <w:t>ARQUITETURA HÍBRIDA MULTIVARIADA E OTIMIZAÇÃO BIOINSPIRADA DE ATRIBUTOS</w:t>
      </w:r>
    </w:p>
    <w:p>
      <w:pPr>
        <w:spacing w:before="1900" w:after="0" w:line="288" w:lineRule="auto"/>
        <w:jc w:val="center"/>
      </w:pPr>
      <w:r>
        <w:rPr>
          <w:rFonts w:ascii="Arial" w:hAnsi="Arial"/>
          <w:b/>
          <w:sz w:val="22"/>
        </w:rPr>
        <w:t>RECIFE</w:t>
        <w:br/>
        <w:t>2026</w:t>
      </w:r>
    </w:p>
    <w:p>
      <w:r>
        <w:br w:type="page"/>
      </w:r>
    </w:p>
    <w:p>
      <w:pPr>
        <w:pStyle w:val="Heading1"/>
        <w:spacing w:before="280" w:after="80"/>
        <w:jc w:val="both"/>
      </w:pPr>
      <w:r>
        <w:rPr>
          <w:rFonts w:ascii="Arial" w:hAnsi="Arial"/>
          <w:b/>
          <w:color w:val="1F4E79"/>
          <w:sz w:val="26"/>
        </w:rPr>
        <w:t>1 INTRODUÇÃO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trajetória dos preços em uma economia em desenvolvimento como a brasileira é marcada por uma tensão permanente entre a memória do passado e os choques imprevisíveis do presente. Ao longo de décadas, a sociedade conviveu com oscilações inflacionárias que desgastam a renda do trabalho, tornam o crédito escasso e impõem pesadas incertezas sobre o planejamento das famílias e das empresas. A consolidação da estabilidade monetária com a criação do Plano Real e a posterior adoção do regime de metas para a inflação estabeleceram um pacto institucional: manter o poder de compra da moeda através do monitoramento rigoroso do Índice Nacional de Preços ao Consumidor Amplo (IPCA), calculado mensalmente pelo Instituto Brasileiro de Geografia e Estatística (IBGE).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Contudo, conduzir e antecipar essa dinâmica é uma tarefa desafiadora. O Banco Central do Brasil utiliza a taxa básica de juros (Selic) como seu principal instrumento de controle, mas as decisões de política monetária demandam entre dois e quatro trimestres para produzir efeitos plenos sobre o consumo e os investimentos. Essa defasagem temporal impede que gestores públicos e privados naveguem olhando apenas para os preços observados ontem; torna-se imperativo antecipar o comportamento futuro do índice para embasar decisões tempestivas.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Historicamente, a literatura estatística abordou a previsão de preços sob a ótica univariada, partindo da premissa de que o próprio histórico de inflação sintetiza a inércia dos contratos e as expectativas dos agentes. Modelos clássicos de séries temporais assumem que as defasagens passadas e os ciclos sazonais são suficientes para projetar os próximos períodos. Entretanto, a economia brasileira é exposta a perturbações exógenas frequentes: choques cambiais que encarecem insumos importados, oscilações severas nas cotações internacionais de commodities energéticas, secas que penalizam a produção agrícola e desequilíbrios no mercado de trabalho.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Surge, assim, um dilema central de modelagem: modelos estritamente univariados correm o risco de ignorar sinais antecipados cruciais emitidos por variáveis externas, enquanto abordagens multivariadas que incorporam dezenas de indicadores econômicos enfrentam o risco de ruído amostral, multicolinearidade e superajuste (overfitting). O presente projeto investiga essa fronteira empírica sob a ótica da Engenharia da Computação e da Mineração de Dados. A presente entrega foca na formulação do problema, na integração interdisciplinar com economistas e no pipeline completo de coleta, análise exploratória descritiva e pré-processamento de um robusto painel macroeconômico, preparando a base para a futura calibração de modelos preditivos e algoritmos bioinspirados de seleção de atributos.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1.1 Contextualização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dinâmica da inflação no Brasil conecta-se diretamente à arquitetura do Sistema Financeiro Nacional. O Conselho Monetário Nacional (CMN) define as metas anuais de inflação, cabendo ao Banco Central do Brasil (BACEN) calibrar as condições financeiras para o seu cumprimento.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Para a ciência e engenharia de dados, esse cenário desdobra-se em três pilares de relevância aplicada: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Setor Público e Governança Macroeconômica: </w:t>
      </w:r>
      <w:r>
        <w:rPr>
          <w:rFonts w:ascii="Arial" w:hAnsi="Arial"/>
          <w:sz w:val="22"/>
        </w:rPr>
        <w:t>O fornecimento de estimativas acuradas mitiga assimetrias informacionais, permitindo avaliar pressões de custos antes que se disseminem pela economia e auxiliando na ancoragem das expectativas de mercado;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Mercado Financeiro e Atividade Corporativa: </w:t>
      </w:r>
      <w:r>
        <w:rPr>
          <w:rFonts w:ascii="Arial" w:hAnsi="Arial"/>
          <w:sz w:val="22"/>
        </w:rPr>
        <w:t>Empresas utilizam projeções de inflação para reajustar contratos de fornecimento de longo prazo, planejar orçamentos de capital e gerenciar estoques. No mercado financeiro, a correta precificação de títulos indexados à inflação (como NTN-B e debêntures) e a gestão de risco de tesouraria dependem da acurácia dessas projeções;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Pesquisa em Engenharia e Mineração de Dados: </w:t>
      </w:r>
      <w:r>
        <w:rPr>
          <w:rFonts w:ascii="Arial" w:hAnsi="Arial"/>
          <w:sz w:val="22"/>
        </w:rPr>
        <w:t>Séries macroeconômicas de economias emergentes oferecem um ambiente de estresse para algoritmos computacionais, demandando engenharia de dados precisa para sincronizar bases heterogêneas, sanear dados ruidosos e evitar vazamento temporal.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1.2 Descrição do Problema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desafio central consiste em arbitrar entre a inércia temporal e a sensibilidade a choques macroeconômicos externos: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A Hipótese Univariada: </w:t>
      </w:r>
      <w:r>
        <w:rPr>
          <w:rFonts w:ascii="Arial" w:hAnsi="Arial"/>
          <w:sz w:val="22"/>
        </w:rPr>
        <w:t>Postula que a inércia inflacionária — sustentada por indexação contratual e rigidez de preços — domina a trajetória da série, de modo que modelos autorregressivos simples superariam formulações complexas que demandam estimativas de terceiros;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A Hipótese Multivariada: </w:t>
      </w:r>
      <w:r>
        <w:rPr>
          <w:rFonts w:ascii="Arial" w:hAnsi="Arial"/>
          <w:sz w:val="22"/>
        </w:rPr>
        <w:t>Postula que indicadores antecedentes de preços no atacado, custos de transporte, cotação do dólar e nível de atividade agregada emitem sinais preditivos antecipados que o histórico isolado do índice de inflação é incapaz de capturar a tempo.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questão metodológica reside em determinar se a complexidade multivariada compensa o risco de instabilidade estatística e quais classes de variáveis econômicas trazem ganho preditivo mensurável.</w:t>
      </w:r>
    </w:p>
    <w:p>
      <w:pPr>
        <w:spacing w:before="120" w:after="160"/>
        <w:ind w:left="288" w:right="288"/>
        <w:jc w:val="both"/>
        <w:pBdr>
          <w:left w:val="single" w:sz="24" w:space="12" w:color="1F4E79"/>
        </w:pBdr>
        <w:shd w:fill="F4F6F9"/>
      </w:pPr>
      <w:r>
        <w:rPr>
          <w:rFonts w:ascii="Arial" w:hAnsi="Arial"/>
          <w:b/>
          <w:color w:val="1F4E79"/>
          <w:sz w:val="21"/>
        </w:rPr>
        <w:t xml:space="preserve">Pergunta Central de Pesquisa: </w:t>
      </w:r>
      <w:r>
        <w:rPr>
          <w:rFonts w:ascii="Arial" w:hAnsi="Arial"/>
          <w:i/>
          <w:color w:val="1E1E1E"/>
          <w:sz w:val="21"/>
        </w:rPr>
        <w:t>"A utilização de variáveis macroeconômicas exógenas melhora a acurácia preditiva da inflação frente a modelos puramente univariados? Quais atributos possuem maior capacidade de antecipar a trajetória da inflação brasileira?"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1.3 Objetivos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1.3.1 Objetivo Geral da Etapa Atual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Desenvolver o processo de mineração de dados focado na formulação do problema, fundamentação teórica, análise exploratória descritiva e pré-processamento integral de séries temporais da inflação brasileira e variáveis exógenas antecedentes, estruturando uma base de dados higienizada, consistente e documentada sob orientação de especialistas para fundamentar a futura calibração de modelos preditivos multivariados.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1.3.2 Objetivos Específicos do Escopo Atual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Engenharia e Coleta de Dados Macroeconômicos: </w:t>
      </w:r>
      <w:r>
        <w:rPr>
          <w:rFonts w:ascii="Arial" w:hAnsi="Arial"/>
          <w:sz w:val="22"/>
        </w:rPr>
        <w:t>Coletar e consolidar a série histórica mensal do IPCA e de 28 variáveis exógenas candidatas de março de 2012 a agosto de 2026 via API oficial do SGS/Banco Central;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Mapeamento de Stakeholders e Orientação Acadêmica: </w:t>
      </w:r>
      <w:r>
        <w:rPr>
          <w:rFonts w:ascii="Arial" w:hAnsi="Arial"/>
          <w:sz w:val="22"/>
        </w:rPr>
        <w:t>Mapear os envolvidos no projeto, articulando a orientação acadêmica do Prof. Dr. Alexandre Maciel (POLI/UPE) e a consultoria de domínio macroeconômico do Prof. Guilherme Martins (FCAP/UPE);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Fundamentação Teórica e Diferenciais Metodológicos: </w:t>
      </w:r>
      <w:r>
        <w:rPr>
          <w:rFonts w:ascii="Arial" w:hAnsi="Arial"/>
          <w:sz w:val="22"/>
        </w:rPr>
        <w:t>Estruturar a revisão da literatura e estabelecer a matriz comparativa de diferenciais frente aos modelos clássicos e recentes;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4. Caracterização Estatística e Visual dos Dados: </w:t>
      </w:r>
      <w:r>
        <w:rPr>
          <w:rFonts w:ascii="Arial" w:hAnsi="Arial"/>
          <w:sz w:val="22"/>
        </w:rPr>
        <w:t>Conduzir análise descritiva univariada e bivariada dos atributos contínuos e discretos, explorando assimetrias, outliers e comportamento sob diferentes regimes nominais de inflação;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5. Pipeline de Pré-processamento e Saneamento: </w:t>
      </w:r>
      <w:r>
        <w:rPr>
          <w:rFonts w:ascii="Arial" w:hAnsi="Arial"/>
          <w:sz w:val="22"/>
        </w:rPr>
        <w:t>Implementar rotinas sistemáticas de limpeza de nulos, alinhamento temporal em frequência uniforme (Month-Start), tratamento de inconsistências, redução amostral e codificação de atributos;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6. Estruturação do Dicionário de Dados da Base Consolidada: </w:t>
      </w:r>
      <w:r>
        <w:rPr>
          <w:rFonts w:ascii="Arial" w:hAnsi="Arial"/>
          <w:sz w:val="22"/>
        </w:rPr>
        <w:t>Documentar formalmente todos os 31 atributos consolidados, seus códigos de origem, tipagem, procedimentos de pré-processamento e relevância de negócio.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1.4 Justificativa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Projeções de inflação influenciam a taxa de juros real da economia, os custos de captação de dívida soberana e a formação de preços no atacado e no varejo. Séries econômicas brasileiras apresentam não linearidades, quebras de regime e forte exposição a choques internacionais. Sob a perspectiva da computação aplicada, a pesquisa contribui ao estabelecer um pipeline reprodutível de engenharia de dados que transforma séries públicas brutas em um painel estruturado, alinhado e auditável, eliminando vieses e viabilizando a futura aplicação de estimadores preditivos avançados.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1.5 Escopo Negativo e Delimitação da Etapa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Para assegurar clareza quanto à entrega atual do projeto, definem-se os seguintes limites de escopo: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Análise de Estacionariedade e Modelagem Preditiva nesta Fase: </w:t>
      </w:r>
      <w:r>
        <w:rPr>
          <w:rFonts w:ascii="Arial" w:hAnsi="Arial"/>
          <w:sz w:val="22"/>
        </w:rPr>
        <w:t>A realização de testes de raiz unitária (ADF), transformações de diferenciação para modelos específicos, calibração de algoritmos preditivos (ARIMA, ARIMAX, Random Forest, Lasso, Arquitetura Híbrida) e otimização bioinspirada (GA e PSO) pertencem à etapa subsequente do projeto, não fazendo parte do escopo da presente entrega, que encerra-se formalmente no pré-processamento dos dados;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Alta Frequência e Intradiário: </w:t>
      </w:r>
      <w:r>
        <w:rPr>
          <w:rFonts w:ascii="Arial" w:hAnsi="Arial"/>
          <w:sz w:val="22"/>
        </w:rPr>
        <w:t>O estudo concentra-se na frequência mensal oficial e não aborda cotações diárias ou intradiárias de preços;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Nível Microeconômico: </w:t>
      </w:r>
      <w:r>
        <w:rPr>
          <w:rFonts w:ascii="Arial" w:hAnsi="Arial"/>
          <w:sz w:val="22"/>
        </w:rPr>
        <w:t>Não são investigadas cestas de consumo de indivíduos específicos, recortes regionais isolados ou desagregações domiciliares da POF;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Prescrição de Política Econômica: </w:t>
      </w:r>
      <w:r>
        <w:rPr>
          <w:rFonts w:ascii="Arial" w:hAnsi="Arial"/>
          <w:sz w:val="22"/>
        </w:rPr>
        <w:t>O trabalho tem finalidade analítica e de engenharia de dados, sem emitir recomendações normativas sobre o patamar adequado de juros ou diretrizes fiscais.</w:t>
      </w:r>
    </w:p>
    <w:p>
      <w:pPr>
        <w:pStyle w:val="Heading1"/>
        <w:spacing w:before="280" w:after="80"/>
        <w:jc w:val="both"/>
      </w:pPr>
      <w:r>
        <w:rPr>
          <w:rFonts w:ascii="Arial" w:hAnsi="Arial"/>
          <w:b/>
          <w:color w:val="1F4E79"/>
          <w:sz w:val="26"/>
        </w:rPr>
        <w:t>2 FUNDAMENTAÇÃO TEÓRICA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2.1 Área do Negócio: O Funcionamento da Inflação e a Dinâmica Econômica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Para compreender o desafio de antecipar a inflação, é necessário desmistificar o fenômeno em linguagem acessível a leitores de diferentes áreas e fundamentada na literatura macroeconômica.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O que é a Inflação na Prática?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De forma intuitiva, a inflação não é apenas o encarecimento de um produto específico, como o tomate ou a energia elétrica; ela representa o aumento contínuo e generalizado no nível de preços de bens e serviços de uma economia ao longo do tempo [4, 13]. O efeito prático mais imediato é a perda do poder de compra da moeda: se uma nota de R$ 100 permitia comprar um conjunto completo de mantimentos no início do ano e, meses depois, adquire apenas uma fração desses mesmos produtos, a moeda perdeu valor relativo [13].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Como o IPCA Mede Essa Realidade?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No Brasil, a inflação oficial é mensurada pelo Índice Nacional de Preços ao Consumidor Amplo (IPCA), calculado pelo IBGE desde 1979 e adotado formalmente como bússola do sistema de metas [10]. Para mensurá-lo, o IBGE não calcula uma média simples de preços: constrói-se uma 'cesta média de consumo' ponderada, que reflete como as famílias com renda entre 1 e 40 salários mínimos distribuem seus gastos [10]. Despesas com alimentação, habitação e transporte possuem peso predominante no orçamento das famílias brasileiras; portanto, variações nesses grupos provocam impactos assimétricos sobre o índice geral.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Os Três Grandes Motores da Inflação Brasileira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literatura econômica contemporânea e a experiência empírica brasileira identificam três forças fundamentais que movimentam os preços: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A Inércia e a Memória da Moeda: </w:t>
      </w:r>
      <w:r>
        <w:rPr>
          <w:rFonts w:ascii="Arial" w:hAnsi="Arial"/>
          <w:sz w:val="22"/>
        </w:rPr>
        <w:t>O Brasil atravessou décadas de inflação crônica antes do Plano Real, o que consolidou mecanismos formais e informais de 'indexação' [5, 16]. Na prática, diversos preços da economia — como aluguéis residenciais, tarifas públicas, pedágios, mensalidades escolares e convenções coletivas de trabalho — são reajustados periodicamente pela inflação passada. Isso gera um comportamento de persistência ou 'memória temporal': a inflação de hoje carrega em si a taxa observada no passado, perpetuando o ciclo mesmo na ausência de novos choques [5, 16];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Choques de Oferta e Custos (Câmbio e Commodities): </w:t>
      </w:r>
      <w:r>
        <w:rPr>
          <w:rFonts w:ascii="Arial" w:hAnsi="Arial"/>
          <w:sz w:val="22"/>
        </w:rPr>
        <w:t>Quando ocorrem perturbações externas, como a alta internacional do petróleo ou a desvalorização cambial do Real frente ao Dólar americano, os insumos de importação tornam-se imediatamente mais onerosos [3, 6]. O aumento nos preços dos combustíveis eleva o custo do frete rodoviário, que encarece a distribuição de alimentos e bens de consumo, produzindo o mecanismo clássico de repasse cambial (pass-through) para o consumidor final [6];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Pressões de Demanda e o Hiato do Produto: </w:t>
      </w:r>
      <w:r>
        <w:rPr>
          <w:rFonts w:ascii="Arial" w:hAnsi="Arial"/>
          <w:sz w:val="22"/>
        </w:rPr>
        <w:t>Quando a atividade econômica se expande aceleradamente, impulsionando a contratação de trabalhadores e o aumento da renda agregada acima da capacidade física das fábricas e prestadores de serviço de ofertar bens, surge escassez relativa [4, 17]. Os produtores ajustam os preços para cima para equilibrar o mercado, relação descrita classicamente pelo mecanismo da Curva de Phillips [4, 17].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O Banco Central e o 'Termostato' da Política Monetária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Para evitar desarranjos na estabilidade de preços, o Conselho Monetário Nacional (CMN) define uma meta percentual anual. O Banco Central atua como regulador do sistema por meio do Comitê de Política Monetária (COPOM), utilizando a taxa básica de juros (Selic) como instrumento regulador [3, 17].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taxa Selic funciona de maneira análoga a um termostato econômico: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Elevação da Taxa Selic: </w:t>
      </w:r>
      <w:r>
        <w:rPr>
          <w:rFonts w:ascii="Arial" w:hAnsi="Arial"/>
          <w:sz w:val="22"/>
        </w:rPr>
        <w:t>Quando a inflação ameaça ultrapassar o teto da meta, o Banco Central eleva a taxa Selic. O crédito fica mais caro, o custo de oportunidade de poupar aumenta, as empresas adiam investimentos e as famílias reduzem o consumo financiado. Essa desaceleração da demanda arrefece a alta dos preços [3, 13];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Redução da Taxa Selic: </w:t>
      </w:r>
      <w:r>
        <w:rPr>
          <w:rFonts w:ascii="Arial" w:hAnsi="Arial"/>
          <w:sz w:val="22"/>
        </w:rPr>
        <w:t>Por outro lado, se a economia se retrai e a inflação converge para níveis muito baixos, o BACEN pode reduzir a taxa Selic para reativar a atividade produtiva.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ponto crítico desse processo é a existência de defasagens temporais de transmissão (transmission lags): uma decisão tomada pelo COPOM hoje leva entre 6 e 12 meses para se propagar pelos canais de crédito, câmbio e expectativas até afetar os preços finais [3, 17]. Por esse motivo, as autoridades monetárias e os analistas de mercado dependem de modelos preditivos tempestivos, capazes de antecipar a trajetória da inflação no horizonte relevante.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2.2 Mineração de Dados</w:t>
      </w:r>
    </w:p>
    <w:p>
      <w:pPr>
        <w:spacing w:before="0" w:after="80" w:line="276" w:lineRule="auto"/>
        <w:jc w:val="both"/>
      </w:pPr>
      <w:r>
        <w:rPr>
          <w:rFonts w:ascii="Arial" w:hAnsi="Arial"/>
          <w:i/>
          <w:color w:val="646464"/>
          <w:sz w:val="22"/>
        </w:rPr>
        <w:t>*(Nota: O detalhamento conceitual e matemático dos algoritmos computacionais de aprendizado de máquina, redes neurais e operadores genéticos será incorporado nesta subseção na etapa subsequente do projeto, permanecendo este tópico reservado para a fundamentação algorítmica específica).*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2.3 Trabalhos Relacionados e Análise de Diferenciais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literatura sobre modelagem da inflação organiza-se em três paradigmas metodológicos principais: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Modelagem Paramétrica Box-Jenkins: </w:t>
      </w:r>
      <w:r>
        <w:rPr>
          <w:rFonts w:ascii="Arial" w:hAnsi="Arial"/>
          <w:sz w:val="22"/>
        </w:rPr>
        <w:t>A abordagem clássica de séries temporais de Box e Jenkins [1] consolidou o uso de processos autorregressivos integrados de médias móveis (ARIMA). Tais formulações capturam adequadamente a inércia estocástica e a sazonalidade, mas partem de hipóteses rígidas de linearidade e não respondem com tempestividade a choques de oferta exógenos [1, 9];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Arquiteturas Híbridas Lineares e Não Lineares: </w:t>
      </w:r>
      <w:r>
        <w:rPr>
          <w:rFonts w:ascii="Arial" w:hAnsi="Arial"/>
          <w:sz w:val="22"/>
        </w:rPr>
        <w:t>Zhang [18] introduziu a formulação híbrida canônica que decompõe uma série temporal na soma de uma componente linear com uma componente residual não linear (y_t = L_t + N_t). Ao aplicar redes neurais aos resíduos do ARIMA, Zhang demonstrou que a modelagem conjunta supera estimadores isolados. Contudo, suas aplicações originais concentraram-se em séries univariadas sem covariáveis macroeconômicas exógenas [18];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Machine Learning Multivariado de Alta Dimensionalidade: </w:t>
      </w:r>
      <w:r>
        <w:rPr>
          <w:rFonts w:ascii="Arial" w:hAnsi="Arial"/>
          <w:sz w:val="22"/>
        </w:rPr>
        <w:t>Estudos contemporâneos de econometria aplicada, como Garcia et al. [6] e Medeiros et al. [14], avaliaram o emprego de métodos de regularização (como Lasso e Elastic Net) e algoritmos ensemble (Random Forest) alimentados por grandes painéis de dados econômicos. Embora demonstrem que dados externos contêm sinal preditivo, tais estudos frequentemente enfrentam o custo da multicolinearidade e da perda de aderência quando não há uma modelagem prévia da inércia autoregressiva estrutural [6, 14].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Para evidenciar com precisão como o presente projeto se insere nessa fronteira e quais lacunas metodológicas preenche, a Tabela 1 sintetiza uma análise comparativa baseada em critérios funcionais e computacionais, confrontando os trabalhos da literatura com a abordagem proposta para o projeto.</w:t>
      </w:r>
    </w:p>
    <w:p>
      <w:pPr>
        <w:keepNext/>
        <w:spacing w:before="120" w:after="60" w:line="276" w:lineRule="auto"/>
        <w:jc w:val="center"/>
      </w:pPr>
      <w:r>
        <w:rPr>
          <w:rFonts w:ascii="Arial" w:hAnsi="Arial"/>
          <w:b/>
          <w:sz w:val="19"/>
        </w:rPr>
        <w:t>Tabela 1 – Matriz Comparativa de Trabalhos Relacionados e Diferenciais Metodológicos do Projeto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Dimensão Metodológica / Requisito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Modelos Clássicos (Box &amp; Jenkins, 2015) [1]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Híbridos Tradicionais (Zhang, 2003) [18]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Machine Learning Multivariado (Medeiros et al., 2021) [14]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Abordagem Proposta (ARIMAX Híbrido + Meta-heurísticas)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Estrutura de Modelagem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Linear univariada estrita (ARIMA / SARIMA).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Híbrida aditiva univariada (ARIMA linear + RNA nos resíduos).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Regressores puramente não lineares ou regularizados (Lasso, RF).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Híbrida aditiva multivariada (ARIMAX com exógenas + RF nos resíduos).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Espaço de Variáveis Exógenas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Ausente (apenas o histórico passado da própria série y_t).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Ausente (opera unicamente com defasagens da série dependente).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Amplo painel multivariado sem filtragem otimizada de atributos.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28 covariáveis estruturadas em 4 pilares macroeconômicos fundamentais.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Seleção Inteligente de Atributos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Inexistente (seleção via critérios AIC/BIC em ordens p, d, q).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Inexistente (foco apenas no ajuste de resíduos temporais).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Penalização paramétrica passiva (L1/Lasso) ou importância em árvores.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Meta-heurísticas bioinspiradas ativas (Algoritmo Genético e PSO) para seleção global.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Tratamento de Choques Não Lineares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Incapaz de modelar quebras estruturais ou choques de custos exógenos.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Modela não linearidades endógenas, mas cego a choques externos (câmbio/petróleo).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Captura interações não lineares, mas negligencia a inércia autoregressiva pura.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ARIMAX ancora a inércia estocástica e a Random Forest absorve os choques exógenos residuais.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Prevenção de Vazamento (Data Leakage)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Divisão amostral simples ou estimação em toda a amostra.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Divisão estática simples de treino e teste.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Frequentemente adota validação cruzada k-fold sem preservação estrita da ordem temporal.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Validação sequencial dinâmica Walk-Forward de 1 passo (h=1) com reestimação cronológica.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Contextualização Econômica Aplicada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Foco estatístico genérico em séries sintéticas ou industriais.</w:t>
            </w:r>
          </w:p>
        </w:tc>
        <w:tc>
          <w:tcPr>
            <w:tcW w:type="dxa" w:w="158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Aplicações empíricas clássicas em séries padronizadas internacionais.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 w:val="0"/>
                <w:sz w:val="16"/>
              </w:rPr>
              <w:t>Avaliação em mercados desenvolvidos com baixa volatilidade e sem indexação.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both"/>
            </w:pPr>
            <w:r>
              <w:rPr>
                <w:rFonts w:ascii="Arial" w:hAnsi="Arial"/>
                <w:b/>
                <w:color w:val="1F4E79"/>
                <w:sz w:val="16"/>
              </w:rPr>
              <w:t>Painel brasileiro contemporâneo (2012–2026, 174 meses), com validação de economista da FCAP/UPE.</w:t>
            </w:r>
          </w:p>
        </w:tc>
      </w:tr>
    </w:tbl>
    <w:p>
      <w:pPr>
        <w:spacing w:before="40" w:after="120" w:line="276" w:lineRule="auto"/>
        <w:jc w:val="center"/>
      </w:pPr>
      <w:r>
        <w:rPr>
          <w:rFonts w:ascii="Arial" w:hAnsi="Arial"/>
          <w:sz w:val="22"/>
        </w:rPr>
        <w:t>Fonte: Elaboração própria com base na revisão sistemática da literatura (2026).</w:t>
      </w:r>
    </w:p>
    <w:p>
      <w:pPr>
        <w:pStyle w:val="Heading1"/>
        <w:spacing w:before="280" w:after="80"/>
        <w:jc w:val="both"/>
      </w:pPr>
      <w:r>
        <w:rPr>
          <w:rFonts w:ascii="Arial" w:hAnsi="Arial"/>
          <w:b/>
          <w:color w:val="1F4E79"/>
          <w:sz w:val="26"/>
        </w:rPr>
        <w:t>3 MATERIAIS E MÉTODOS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3.1 Stakeholders Envolvidos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condução e a validação do projeto contam com a participação e o direcionamento de diferentes partes interessadas (stakeholders), articulando a liderança acadêmica na disciplina, a consultoria de domínio macroeconômico e a aplicabilidade prática: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Professor da Disciplina e Orientador Metodológico: 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• Prof. Dr. Alexandre Maciel (Escola Politécnica de Pernambuco – POLI/UPE): Docente responsável pela disciplina de Mineração de Dados no curso de Engenharia da Computação. Atua como o principal stakeholder acadêmico e orientador metodológico do projeto, tendo como responsabilidades: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Orientar e avaliar a conformidade técnica do projeto com os preceitos científicos de Descoberta de Conhecimento em Bases de Dados (KDD) e Mineração de Dados;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Avaliar o rigor do pipeline de engenharia de dados, garantindo reprodutibilidade e prevenção de vazamento temporal (lookahead bias);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Validar as decisões de saneamento, tratamento de dados ausentes e estruturação formal do Dicionário de Dados;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Avaliar a aderência do artigo aos padrões institucionais e critérios de avaliação da POLI-UPE.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Stakeholder Especialista de Domínio (Consultoria Macroeconômica): 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• Prof. Guilherme Martins (Faculdade de Ciências da Administração de Pernambuco – FCAP/UPE): Economista e docente da UPE, atuando como o consultor especialista de domínio do projeto. Sua responsabilidade e interesse residem em: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Validar a pertinência teórica das 28 variáveis exógenas candidatas à luz da teoria macroeconômica e das peculiaridades do mercado brasileiro;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Orientar sobre a dinâmica dos mecanismos de transmissão de preços (pass-through cambial, inércia de contratos e tarifas públicas reguladas);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Assegurar que os procedimentos de pré-processamento preservem a integridade e o significado econômico das séries históricas;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 xml:space="preserve">    - Avaliar a consistência das conclusões exploratórias frente à política monetária conduzida pelo BACEN e pelo COPOM.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Stakeholders de Aplicação e Beneficiários Finais (Decisores Econômicos): 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• Analistas de Mercado Financeiro e Gestores de Ativos: Interessados em dados macroeconômicos saneados e consistentes para precificação de títulos públicos indexados (como NTN-B e debêntures incentivadas) e gestão de riscos de carteira;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• Departamentos de Planejamento e Controladorias Corporativas: Necessidade de parâmetros preditivos confiáveis de custos para elaboração de orçamentos anuais, reajustes contratuais com fornecedores e planejamento de estoques;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• Sociedade e Gestores de Políticas Públicas: Beneficiários indiretos de estudos transparentes e reprodutíveis que analisam as pressões de custos sobre itens de consumo essencial (alimentação, energia e transporte).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3.2 Descrição da Base de Dados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base empírica foi coletada automaticamente da API do Sistema Gerenciador de Séries Temporais do Banco Central (SGS/BACEN). O painel compreende 174 observações mensais contínuas (frequência Month Start - MS), de março de 2012 a agosto de 2026.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variável dependente alvo (y_t) é o IPCA mensal (SGS código 4447). As 28 variáveis exógenas candidatas foram agrupadas em quatro categorias macroeconômicas: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Índices de Preços e Desagregações Setoriais (11 variáveis): </w:t>
      </w:r>
      <w:r>
        <w:rPr>
          <w:rFonts w:ascii="Arial" w:hAnsi="Arial"/>
          <w:sz w:val="22"/>
        </w:rPr>
        <w:t>Subíndices do IPCA (Alimentação, Transportes, Habitação, Saúde, Vestuário, Educação e Despesas Pessoais) e índices gerais (INPC, IGP-M, IGP-DI e IPC-BR);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Setor Financeiro, Moeda e Câmbio (3 variáveis): </w:t>
      </w:r>
      <w:r>
        <w:rPr>
          <w:rFonts w:ascii="Arial" w:hAnsi="Arial"/>
          <w:sz w:val="22"/>
        </w:rPr>
        <w:t>Taxa Selic Over, taxa de câmbio nominal PTAX (USDBRL) e reservas internacionais;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Atividade Econômica e Mercado de Trabalho (7 variáveis): </w:t>
      </w:r>
      <w:r>
        <w:rPr>
          <w:rFonts w:ascii="Arial" w:hAnsi="Arial"/>
          <w:sz w:val="22"/>
        </w:rPr>
        <w:t>PIB Mensal a preços correntes, taxa de desocupação (PNAD Contínua), salário mínimo nacional, estoques de empregos formais ativos do CAGED (Total, Agropecuária e Construção Civil) e produção física de ovos;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Energia e Combustíveis (6 variáveis): </w:t>
      </w:r>
      <w:r>
        <w:rPr>
          <w:rFonts w:ascii="Arial" w:hAnsi="Arial"/>
          <w:sz w:val="22"/>
        </w:rPr>
        <w:t>Refino de petróleo, consumo aparente de gasolina automotiva, consumo de óleo combustível e demanda faturada de energia elétrica (Comercial, Residencial e Total).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3.2.1 Delimitação Temporal e Justificativa Metodológica (2012 a 2026)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marco temporal inicial em março de 2012 foi adotado devido a três fatores metodológicos fundamentados com o stakeholder economista: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Transição da Medição do Desemprego: </w:t>
      </w:r>
      <w:r>
        <w:rPr>
          <w:rFonts w:ascii="Arial" w:hAnsi="Arial"/>
          <w:sz w:val="22"/>
        </w:rPr>
        <w:t>Implantação da PNAD Contínua pelo IBGE em substituição à antiga PME, eliminando quebra estrutural severa nos dados de mercado de trabalho;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Nova Ponderação da Cesta do IPCA: </w:t>
      </w:r>
      <w:r>
        <w:rPr>
          <w:rFonts w:ascii="Arial" w:hAnsi="Arial"/>
          <w:sz w:val="22"/>
        </w:rPr>
        <w:t>Atualização dos pesos da cesta de consumo com base na POF 2008-2009;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Painel Balanceado no SGS/BACEN: </w:t>
      </w:r>
      <w:r>
        <w:rPr>
          <w:rFonts w:ascii="Arial" w:hAnsi="Arial"/>
          <w:sz w:val="22"/>
        </w:rPr>
        <w:t>Disponibilidade ininterrupta do painel balanceado de séries setoriais.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3.3 Análise Descritiva dos Dados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análise descritiva investigou a dispersão, a assimetria e os valores extremos antes da modelagem preditiva. Para atender aos critérios formais de mineração de dados, foram caracterizados um atributo numérico contínuo e um atributo nominal institucionalmente fundamentado: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Atributo Numérico Contínuo (IPCA): </w:t>
      </w:r>
      <w:r>
        <w:rPr>
          <w:rFonts w:ascii="Arial" w:hAnsi="Arial"/>
          <w:sz w:val="22"/>
        </w:rPr>
        <w:t>Variação percentual mensal da inflação oficial (SGS 4447);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Atributo Nominal Categórico (Regime de Inflação): </w:t>
      </w:r>
      <w:r>
        <w:rPr>
          <w:rFonts w:ascii="Arial" w:hAnsi="Arial"/>
          <w:sz w:val="22"/>
        </w:rPr>
        <w:t>Discretização da série contínua em três classes balizadas pelas metas do CMN: Deflação (IPCA &lt; 0,00%), Meta / Estável (0,00% ≤ IPCA ≤ 0,50%) e Alta / Acima da Meta (IPCA &gt; 0,50%).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3.3.1 Distribuição de Frequências e Métricas Descritivas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análise da amostra atualizada (174 meses contínuos) aponta a predominância de meses dentro da meta oficial, conforme demonstrado na Tabela 2.</w:t>
      </w:r>
    </w:p>
    <w:p>
      <w:pPr>
        <w:keepNext/>
        <w:spacing w:before="100" w:after="60" w:line="276" w:lineRule="auto"/>
        <w:jc w:val="center"/>
      </w:pPr>
      <w:r>
        <w:rPr>
          <w:rFonts w:ascii="Arial" w:hAnsi="Arial"/>
          <w:b/>
          <w:sz w:val="19"/>
        </w:rPr>
        <w:t>Tabela 2 – Distribuição de Frequência do Atributo Nominal (Regime de Inflação)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/>
          <w:cantSplit/>
        </w:trPr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Classe Nominal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Faixa Paramétrica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Freq. Absoluta (fi)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Freq. Relativa (%)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Freq. Acumulada (Fi)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Freq. Rel. Acum. (%)</w:t>
            </w:r>
          </w:p>
        </w:tc>
      </w:tr>
      <w:tr>
        <w:trPr>
          <w:cantSplit/>
        </w:trPr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7"/>
              </w:rPr>
              <w:t>Deflação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IPCA &lt; 0,00%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27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15,52%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27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15,52%</w:t>
            </w:r>
          </w:p>
        </w:tc>
      </w:tr>
      <w:tr>
        <w:trPr>
          <w:cantSplit/>
        </w:trPr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7"/>
              </w:rPr>
              <w:t>Meta / Estável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0,00% ≤ IPCA ≤ 0,50%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77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44,25%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104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59,77%</w:t>
            </w:r>
          </w:p>
        </w:tc>
      </w:tr>
      <w:tr>
        <w:trPr>
          <w:cantSplit/>
        </w:trPr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7"/>
              </w:rPr>
              <w:t>Alta / Acima da Meta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IPCA &gt; 0,50%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70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40,23%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174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100,00%</w:t>
            </w:r>
          </w:p>
        </w:tc>
      </w:tr>
      <w:tr>
        <w:trPr>
          <w:cantSplit/>
        </w:trPr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7"/>
              </w:rPr>
              <w:t>Total Geral Amostral</w:t>
            </w:r>
          </w:p>
        </w:tc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Horizonte 2012–2026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174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100,00%</w:t>
            </w:r>
          </w:p>
        </w:tc>
        <w:tc>
          <w:tcPr>
            <w:tcW w:type="dxa" w:w="1296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174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2F4F7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100,00%</w:t>
            </w:r>
          </w:p>
        </w:tc>
      </w:tr>
    </w:tbl>
    <w:p>
      <w:pPr>
        <w:spacing w:before="40" w:after="100" w:line="276" w:lineRule="auto"/>
        <w:jc w:val="center"/>
      </w:pPr>
      <w:r>
        <w:rPr>
          <w:rFonts w:ascii="Arial" w:hAnsi="Arial"/>
          <w:sz w:val="22"/>
        </w:rPr>
        <w:t>Fonte: Elaboração própria com base no SGS/BACEN (2026).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Principais estimadores estatísticos do IPCA contínuo na amostra: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Média e Mediana: </w:t>
      </w:r>
      <w:r>
        <w:rPr>
          <w:rFonts w:ascii="Arial" w:hAnsi="Arial"/>
          <w:sz w:val="22"/>
        </w:rPr>
        <w:t>Média de 0,4324% ao mês e mediana de 0,4150% ao mês;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Dispersão: </w:t>
      </w:r>
      <w:r>
        <w:rPr>
          <w:rFonts w:ascii="Arial" w:hAnsi="Arial"/>
          <w:sz w:val="22"/>
        </w:rPr>
        <w:t>Desvio padrão amostral de 0,4719% e variância de 0,2226;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Assimetria e Curtose: </w:t>
      </w:r>
      <w:r>
        <w:rPr>
          <w:rFonts w:ascii="Arial" w:hAnsi="Arial"/>
          <w:sz w:val="22"/>
        </w:rPr>
        <w:t>Assimetria positiva (+0,5287), acusando cauda direita alongada por choques inflacionários, e curtose de +0,3736;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Valores Extremos: </w:t>
      </w:r>
      <w:r>
        <w:rPr>
          <w:rFonts w:ascii="Arial" w:hAnsi="Arial"/>
          <w:sz w:val="22"/>
        </w:rPr>
        <w:t>Mínimo histórico de -0,7400% (junho/2023) e máximo de +1,9500% (dezembro/2019);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• Quartis e Intervalo Interquartílico: </w:t>
      </w:r>
      <w:r>
        <w:rPr>
          <w:rFonts w:ascii="Arial" w:hAnsi="Arial"/>
          <w:sz w:val="22"/>
        </w:rPr>
        <w:t>Q1 = 0,0800%, Q3 = 0,6775% e IQR = 0,5975 p.p.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3.3.2 Análise Visual: Histograma, Boxplot e Gráfico de Dispersão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caracterização visual dos dados foi conduzida através de gráficos gerados a partir do histórico consolidado:</w:t>
      </w:r>
    </w:p>
    <w:p>
      <w:pPr>
        <w:keepNext/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466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1_Histograma_IP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00" w:line="276" w:lineRule="auto"/>
        <w:jc w:val="center"/>
      </w:pPr>
      <w:r>
        <w:rPr>
          <w:rFonts w:ascii="Arial" w:hAnsi="Arial"/>
          <w:i/>
          <w:sz w:val="18"/>
        </w:rPr>
        <w:t>Figura 1 – Histograma e Densidade Empírica (KDE) do IPCA (2012 a 2026)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Figura 1 confirma que a distribuição da inflação concentra-se entre 0,10% e 0,60% ao mês. A proximidade entre média e mediana reforça a regularidade central, enquanto a assimetria positiva (+0,53) demonstra que choques inflacionários são mais acentuados do que quedas de preço.</w:t>
      </w:r>
    </w:p>
    <w:p>
      <w:pPr>
        <w:keepNext/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2_Boxplot_I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00" w:line="276" w:lineRule="auto"/>
        <w:jc w:val="center"/>
      </w:pPr>
      <w:r>
        <w:rPr>
          <w:rFonts w:ascii="Arial" w:hAnsi="Arial"/>
          <w:i/>
          <w:sz w:val="18"/>
        </w:rPr>
        <w:t>Figura 2 – Diagrama de Caixa (Boxplot) do IPCA: Amostra Global e por Regimes de Inflação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Boxplot univariado na Figura 2 identifica 5 outliers pelo critério de Tukey (IQR): dezembro/2019 (+1,95%), outubro/2020 (+1,72%), novembro/2020 (+1,61%), dezembro/2020 (+1,58%) e dezembro/2021 (+1,58%), decorrentes de choques em carnes e restrições de cadeias de suprimentos globais. A dispersão na classe 'Alta' é muito mais ampla do que na classe 'Meta', justificando a modelagem não linear dos resíduos.</w:t>
      </w:r>
    </w:p>
    <w:p>
      <w:pPr>
        <w:keepNext/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3_Dispersao_IPCA_Camb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00" w:line="276" w:lineRule="auto"/>
        <w:jc w:val="center"/>
      </w:pPr>
      <w:r>
        <w:rPr>
          <w:rFonts w:ascii="Arial" w:hAnsi="Arial"/>
          <w:i/>
          <w:sz w:val="18"/>
        </w:rPr>
        <w:t>Figura 3 – Gráfico de Dispersão entre IPCA e Taxa de Câmbio (USDBRL) por Regime Nominal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gráfico de dispersão da Figura 3 evidencia a relação positiva entre desvalorização cambial e inflação (mecanismo de pass-through cambial). À medida que a cotação do dólar sobe, a frequência de meses no regime de 'Alta' aumenta perceptivelmente.</w:t>
      </w:r>
    </w:p>
    <w:p>
      <w:pPr>
        <w:keepNext/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3215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_Distribuicao_Regim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00" w:line="276" w:lineRule="auto"/>
        <w:jc w:val="center"/>
      </w:pPr>
      <w:r>
        <w:rPr>
          <w:rFonts w:ascii="Arial" w:hAnsi="Arial"/>
          <w:i/>
          <w:sz w:val="18"/>
        </w:rPr>
        <w:t>Figura 4 – Proporção Percentual dos Regimes Nominais de Inflação (N = 174 meses)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A Figura 4 sintetiza a distribuição amostral: 44,25% dos meses situaram-se na meta, 40,23% em patamares elevados e 15,52% em deflação (provocada por desonerações tributárias temporárias e contrações severas de demanda).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3.3.3 Governança, Integridade e Requisitos de Qualidade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tratamento dos dados segue rigorosamente a Lei Geral de Proteção de Dados Pessoais (LGPD – Lei nº 13.709/2018). As séries temporais empregadas são dados macroeconômicos públicos e agregados (SGS/BACEN, IBGE, FGV e Ministério do Trabalho), sem identificadores individuais. Sob a perspectiva de engenharia de dados, garantimos: (i) prevenção estrita de vazamento prospectivo (lookahead bias); (ii) completude amostral de 100% sem lacunas no período de 2012 a 2026; e (iii) reprodutibilidade científica por meio de scripts Python automatizados.</w:t>
      </w:r>
    </w:p>
    <w:p>
      <w:pPr>
        <w:pStyle w:val="Heading2"/>
        <w:spacing w:before="220" w:after="80"/>
        <w:jc w:val="both"/>
      </w:pPr>
      <w:r>
        <w:rPr>
          <w:rFonts w:ascii="Arial" w:hAnsi="Arial"/>
          <w:b/>
          <w:color w:val="1F4E79"/>
          <w:sz w:val="23"/>
        </w:rPr>
        <w:t>3.4 Pré-processamento dos Dados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pré-processamento de dados constitui a etapa culminante da presente entrega. Nesta fase, as séries temporais brutas foram submetidas a rotinas sistemáticas de engenharia de dados para transformá-las em um painel estruturado, consistente e livre de inconsistências, sem qualquer vazamento de dados futuros.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3.4.1 Procedimentos de Limpeza e Saneamento de Dados (Data Cleaning)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O pipeline de limpeza executado compreendeu quatro procedimentos principais: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Sincronização Cronológica: </w:t>
      </w:r>
      <w:r>
        <w:rPr>
          <w:rFonts w:ascii="Arial" w:hAnsi="Arial"/>
          <w:sz w:val="22"/>
        </w:rPr>
        <w:t>Séries divulgadas em periodicidade diária no mercado financeiro (taxa de câmbio nominal PTAX e taxa Selic Over) foram convertidas para médias mensais de dias úteis e sincronizadas sob frequência contínua Month Start (MS) de março de 2012 a agosto de 2026;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Tratamento de Zeros Estruturais: </w:t>
      </w:r>
      <w:r>
        <w:rPr>
          <w:rFonts w:ascii="Arial" w:hAnsi="Arial"/>
          <w:sz w:val="22"/>
        </w:rPr>
        <w:t>Em séries contínuas de fluxos e estoques físicos (refino de petróleo, consumo de combustíveis, demanda de energia e estoques de emprego do CAGED), zeros espúrios gerados por atrasos de apuração de órgãos governamentais foram identificados e substituídos por valores nulos (NaN);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Sanitização Numérica: </w:t>
      </w:r>
      <w:r>
        <w:rPr>
          <w:rFonts w:ascii="Arial" w:hAnsi="Arial"/>
          <w:sz w:val="22"/>
        </w:rPr>
        <w:t>Verificação sistemática contra potenciais valores infinitos (±inf) ou divisões por zero, assegurando que todas as entradas pertencem ao espaço numérico real Float64;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4. Imputação Temporal de Dados Ausentes: </w:t>
      </w:r>
      <w:r>
        <w:rPr>
          <w:rFonts w:ascii="Arial" w:hAnsi="Arial"/>
          <w:sz w:val="22"/>
        </w:rPr>
        <w:t>Valores faltantes pontuais em séries mensais foram tratados via interpolação linear temporal contínua indexada pelo calendário (interpolate(method='time')). A preservação da ordem cronológica garante a integridade histórica dos dados sem distorções.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3.4.2 Técnicas de Redução de Dados e Engenharia de Atributos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1. Redução Amostral Estrutural (Truncamento pós-2012): </w:t>
      </w:r>
      <w:r>
        <w:rPr>
          <w:rFonts w:ascii="Arial" w:hAnsi="Arial"/>
          <w:sz w:val="22"/>
        </w:rPr>
        <w:t>Conforme validado junto ao consultor de domínio, descartaram-se os dados anteriores a março de 2012 para eliminar quebras estruturais metodológicas severas (transição da PME para PNAD Contínua e revisão dos pesos da cesta do IPCA pela POF 2008-2009);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2. Discretização do Atributo Nominal: </w:t>
      </w:r>
      <w:r>
        <w:rPr>
          <w:rFonts w:ascii="Arial" w:hAnsi="Arial"/>
          <w:sz w:val="22"/>
        </w:rPr>
        <w:t>Construção da variável categórica 'Regime de Inflação' com base nas faixas institucionais do CMN, permitindo a segmentação exploratória de períodos de normalidade, estresse e deflação;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2"/>
        </w:rPr>
        <w:t xml:space="preserve">3. Codificação de Sazonalidade Harmônica: </w:t>
      </w:r>
      <w:r>
        <w:rPr>
          <w:rFonts w:ascii="Arial" w:hAnsi="Arial"/>
          <w:sz w:val="22"/>
        </w:rPr>
        <w:t>Criação dos atributos sazonais mes_sin = sin(2πm / 12) e mes_cos = cos(2πm / 12), viabilizando a captura contínua e suave de ciclos anuais sem o custo de inflar a dimensionalidade com 11 variáveis dummy binárias.</w:t>
      </w:r>
    </w:p>
    <w:p>
      <w:pPr>
        <w:pStyle w:val="Heading3"/>
        <w:spacing w:before="160" w:after="80"/>
        <w:jc w:val="both"/>
      </w:pPr>
      <w:r>
        <w:rPr>
          <w:rFonts w:ascii="Arial" w:hAnsi="Arial"/>
          <w:b/>
          <w:color w:val="323232"/>
          <w:sz w:val="22"/>
        </w:rPr>
        <w:t>3.4.3 Dicionário de Dados da Base Consolidada Pré-Processada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2"/>
        </w:rPr>
        <w:t>Como resultado final de todo o fluxo de coleta, higienização e saneamento, a Tabela 3 consolida o Dicionário de Dados da base pré-processada, especificando para cada um dos 31 atributos o seu código de origem, tipo de dado, tratamento recebido no pré-processamento, pilar macroeconômico e papel de negócio validado pelo Prof. Guilherme Martins.</w:t>
      </w:r>
    </w:p>
    <w:p>
      <w:pPr>
        <w:keepNext/>
        <w:spacing w:before="100" w:after="60" w:line="276" w:lineRule="auto"/>
        <w:jc w:val="center"/>
      </w:pPr>
      <w:r>
        <w:rPr>
          <w:rFonts w:ascii="Arial" w:hAnsi="Arial"/>
          <w:b/>
          <w:sz w:val="19"/>
        </w:rPr>
        <w:t>Tabela 3 – Dicionário de Dados da Base Consolidada Pré-Processada (174 Meses, 2012–2026)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/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Atributo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Código / Fonte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Tipo / Unidade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Tratamento no Pré-processamento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Pilar Econômico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1F4E79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Papel / Descrição Econômica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4447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Interpolação de nulos; alinhamento Month-Start (MS)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Variável dependente alvo (Target y_t) - Inflação oficial sob regime de metas.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IPCA_Transportes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1639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Choques de preços de combustíveis e tarifas de mobilidade.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IPCA_Alimentação_bebidas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1635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Choques climáticos e safras no consumo domiciliar.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INPC_Habitação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1636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Pressões de aluguel e tarifas de energia residencial.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IPCA_Saúde_cuidados_pessoais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1641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Repasse de custos médicos e planos de saúde regulados.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IPCA_Vestuário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1638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Sazonalidade de coleções e liquidações do varejo.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IPCA_Educação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1643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Reajustes concentrados em início de ano letivo.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IPCA_Despesas_Pessoais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1642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tratamento de nulos via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Sensibilidade de demanda de serviços recreativos e pessoais.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USDBRL (Câmbio PTAX)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3696 (BACEN)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(R$/US$)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Conversão diária para média mensal de dias úteis; MS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Câmbio / Finanças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Mecanismo de pass-through cambial e importações.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SELIC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4390 (BACEN)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Conversão de taxa diária para média mensal; MS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Câmbio / Finanças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Taxa básica de juros da política monetária do COPOM.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Reservas_Internacionais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3546 (BACEN)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(US$ Milhões)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Alinhamento mensal MS; saneamento de lacunas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Câmbio / Finanças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Liquidez externa e blindagem a choques globais.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INPC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188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interpolação linear de nulos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Inflação incidente em famílias de 1 a 5 salários mínimos.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IGP_M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189 (FGV)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alinhamento de competência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Indicador antecedente de custos no atacado (FGV).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IGP_DI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190 (FGV)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verificação de integridade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Preços ao produtor e insumos de disponibilidade interna.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IPC_BR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191 (FGV)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a.m.)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saneamento de inconsistências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Preços Setoriais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Índice de preços ao consumidor abrangente da FGV.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PIB_Mensal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4380 (BACEN)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(R$ Milhões)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Tratamento de atrasos de divulgação; sincronização MS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Atividade Econômica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Proxy de nível de atividade econômica mensal e hiato.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Desemprego (PNAD)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24369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(% da PEA)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Truncamento pós-2012; interpolação de quebras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Mercado de Trabalho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Dinâmica da desocupação formal (Curva de Phillips).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Salario_Minimo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1619 (Governo)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(R$ correntes)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preservação de reajustes federais anuais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Mercado de Trabalho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Custos de contratação básica no setor terciário.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Estoque_Empregos_Total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28763 (CAGED)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(Mil vínculos)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Zeros contábeis substituídos por NaN; interpolação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Mercado de Trabalho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Saldo mensal de geração de emprego formal no Brasil.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Estoque_Agropecuária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28764 (CAGED)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(Mil vínculos)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Substituição de zeros por NaN; sincronização contínua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Mercado de Trabalho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Dinâmica do emprego rural e safras do agronegócio.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Estoque_Construção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28770 (CAGED)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(Mil vínculos)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Alinhamento cronológico; saneamento de inconsistências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Mercado de Trabalho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Nível de atividade e investimentos na construção civil.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Qte_Ovos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1310 (IBGE)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(Mil dúzias)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Interpolação de atrasos; alinhamento de frequência MS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Atividade Econômica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Proxy física da oferta agropecuária de ciclo rápido.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Produção_Derivados_Petróleo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1391 (ANP)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(Mil m³)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Alinhamento MS; interpolação linear de lacunas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Volume de refino de petróleo e oferta energética.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Consumo_Gasolina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1393 (ANP)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(m³)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zeros de atraso tratados como NaN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Consumo automotivo e pressão de curto prazo em transporte.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Consumo_Óleo_Combustível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1395 (ANP)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(t)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Alinhamento temporal e interpolação de competência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Indicador logístico do transporte rodoviário pesado.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Consumo_Energia_Comercial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1402 (EPE)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(MWh)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MS; zeros tratados como NaN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Carga elétrica no comércio (termômetro em tempo real).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Consumo_Energia_Residencial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1403 (EPE)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(MWh)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Alinhamento MS; interpolação temporal contínua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Padrão de consumo elétrico das famílias brasileiras.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Consumo_Energia_Total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SGS 1406 (EPE)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(MWh)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Sincronização mensal MS; verificação de integridade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Energia / Combustíveis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exógena - Demanda física global de energia elétrica produtiva.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Regime de Inflação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IBGE / CMN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Categórico Nominal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Discretização paramétrica: Deflação, Meta e Alta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Governança / CMN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Atributo nominal derivado - Caracterização qualitativa da trajetória.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mes_sin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Engenharia Temporal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(Adimensional)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Harmônica periódica senoidal: sin(2πm / 12)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Sazonalidade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shd w:fill="F9FAFB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sazonal contínua - Captura de ciclos periódicos anuais.</w:t>
            </w:r>
          </w:p>
        </w:tc>
      </w:tr>
      <w:tr>
        <w:trPr>
          <w:cantSplit/>
        </w:trPr>
        <w:tc>
          <w:tcPr>
            <w:tcW w:type="dxa" w:w="1728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6"/>
              </w:rPr>
              <w:t>mes_cos</w:t>
            </w:r>
          </w:p>
        </w:tc>
        <w:tc>
          <w:tcPr>
            <w:tcW w:type="dxa" w:w="1224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Engenharia Temporal</w:t>
            </w:r>
          </w:p>
        </w:tc>
        <w:tc>
          <w:tcPr>
            <w:tcW w:type="dxa" w:w="108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Float64 (Adimensional)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Harmônica periódica cossenoidal: cos(2πm / 12)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Sazonalidade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Covariável sazonal contínua - Captura de ciclos periódicos anuais.</w:t>
            </w:r>
          </w:p>
        </w:tc>
      </w:tr>
    </w:tbl>
    <w:p>
      <w:pPr>
        <w:spacing w:before="40" w:after="120" w:line="276" w:lineRule="auto"/>
        <w:jc w:val="center"/>
      </w:pPr>
      <w:r>
        <w:rPr>
          <w:rFonts w:ascii="Arial" w:hAnsi="Arial"/>
          <w:sz w:val="22"/>
        </w:rPr>
        <w:t>Fonte: Elaboração própria com base no pipeline computacional desenvolvido e validado com os stakeholders (2026).</w:t>
      </w:r>
    </w:p>
    <w:p>
      <w:pPr>
        <w:pStyle w:val="Heading1"/>
        <w:spacing w:before="280" w:after="80"/>
        <w:jc w:val="both"/>
      </w:pPr>
      <w:r>
        <w:rPr>
          <w:rFonts w:ascii="Arial" w:hAnsi="Arial"/>
          <w:b/>
          <w:color w:val="1F4E79"/>
          <w:sz w:val="26"/>
        </w:rPr>
        <w:t>Referências Bibliográficas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[1] BOX, G. E.; JENKINS, G. M.; REINSEL, G. C.; LJUNG, G. M. Time Series Analysis: Forecasting and Control. 5. ed. Hoboken: John Wiley &amp; Sons, 2015.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[2] BANCO CENTRAL DO BRASIL (BACEN). Sistema Gerenciador de Séries Temporais (SGS). Disponível em: &lt;https://www3.bcb.gov.br/sgspub/&gt;. Acesso em: 16 set. 2026.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[3] BANCO CENTRAL DO BRASIL (BACEN). Relatório de Inflação. v. 26, n. 2. Brasília: Banco Central do Brasil, 2024.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[4] BLANCHARD, O. Macroeconomia. 7. ed. São Paulo: Pearson, 2017.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[5] BRESSER-PEREIRA, L. C.; NAKANO, Y. A Teoria da Inflação Inercial. São Paulo: Brasiliense, 1984.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[6] GARCIA, M. G.; MEDEIROS, M. C.; VASCONCELOS, G. F. Real-time inflation forecasting with high-dimensional data: the case of Brazil. International Journal of Forecasting, v. 33, n. 3, p. 679–693, 2017.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[7] HASTIE, T.; TIBSHIRANI, R.; FRIEDMAN, J. The Elements of Statistical Learning: Data Mining, Inference, and Prediction. 2. ed. New York: Springer, 2009.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[8] HOLLAND, J. H. Adaptation in Natural and Artificial Systems: An Introductory Analysis with Applications to Biology, Control, and Artificial Intelligence. Cambridge: MIT Press, 1992.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[9] HYNDMAN, R. J.; ATHANASOPOULOS, G. Forecasting: Principles and Practice. 3. ed. Melbourne: OTexts, 2021.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[10] INSTITUTO BRASILEIRO DE GEOGRAFIA E ESTATÍSTICA (IBGE). Sistema Nacional de Índices de Preços ao Consumidor (SNIPC): Metodologia do IPCA e INPC. Rio de Janeiro: IBGE, 2020.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[11] KENNEDY, J.; EBERHART, R. Particle swarm optimization. In: Proceedings of ICNN'95 - International Conference on Neural Networks, v. 4, p. 1942–1948, 1995.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[12] KHANDANI, A. E.; KIM, A. J.; LO, A. W. Consumer credit-risk models via machine-learning algorithms. Journal of Banking &amp; Finance, v. 34, n. 11, p. 2767–2787, 2010.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[13] MANKIW, N. G. Macroeconomia. 10. ed. Rio de Janeiro: LTC, 2021.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[14] MEDEIROS, M. C.; VASCONCELOS, G. F.; VEIGA, Á.; ZILBERMAN, E. Forecasting inflation in a data-rich environment: the benefits of machine learning methods. Journal of Business &amp; Economic Statistics, v. 39, n. 1, p. 98–119, 2021.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[15] PEDREGOSA, F. et al. Scikit-learn: Machine Learning in Python. Journal of Machine Learning Research, v. 12, p. 2825–2830, 2011.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[16] SIMONSEN, M. H. 30 Anos de Indexação. Rio de Janeiro: Editora FGV, 1995.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[17] TAYLOR, J. B. Discretion versus policy rules in practice. Carnegie-Rochester Conference Series on Public Policy, v. 39, p. 195–214, 1993.</w:t>
      </w:r>
    </w:p>
    <w:p>
      <w:pPr>
        <w:spacing w:before="40" w:after="60" w:line="252" w:lineRule="auto"/>
        <w:jc w:val="both"/>
      </w:pPr>
      <w:r>
        <w:rPr>
          <w:rFonts w:ascii="Arial" w:hAnsi="Arial"/>
          <w:sz w:val="19"/>
        </w:rPr>
        <w:t>[18] ZHANG, G. P. Time series forecasting using a hybrid ARIMA and neural network model. Neurocomputing, v. 50, p. 159–175, 2003.</w:t>
      </w:r>
    </w:p>
    <w:sectPr w:rsidR="00FC693F" w:rsidRPr="0006063C" w:rsidSect="00034616">
      <w:footerReference w:type="default" r:id="rId9"/>
      <w:pgSz w:w="11909" w:h="16834"/>
      <w:pgMar w:top="1699" w:right="1138" w:bottom="1138" w:left="1699" w:header="720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/>
        <w:color w:val="646464"/>
        <w:sz w:val="18"/>
      </w:rPr>
      <w:t xml:space="preserve">Página </w:t>
    </w:r>
    <w:r>
      <w:rPr>
        <w:rFonts w:ascii="Arial" w:hAnsi="Arial"/>
        <w:color w:val="646464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 w:before="0"/>
      <w:jc w:val="both"/>
    </w:pPr>
    <w:rPr>
      <w:rFonts w:ascii="Arial" w:hAnsi="Arial"/>
      <w:color w:val="1414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color w:val="32323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