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0"/>
        <w:jc w:val="center"/>
      </w:pPr>
      <w:r>
        <w:rPr>
          <w:b/>
          <w:sz w:val="24"/>
        </w:rPr>
        <w:t>FACULDADE POLI-UPE</w:t>
        <w:br/>
        <w:t>DISCIPLINA: MINERAÇÃO DE DADOS</w:t>
      </w:r>
    </w:p>
    <w:p>
      <w:pPr>
        <w:spacing w:before="0" w:after="2800"/>
        <w:jc w:val="center"/>
      </w:pPr>
      <w:r>
        <w:rPr>
          <w:b/>
          <w:sz w:val="28"/>
        </w:rPr>
        <w:t>PROJETO DE MINERAÇÃO DE DADOS:</w:t>
        <w:br/>
        <w:t>PREVISÃO DO IPCA BRASILEIRO</w:t>
        <w:br/>
      </w:r>
      <w:r>
        <w:rPr>
          <w:sz w:val="24"/>
        </w:rPr>
        <w:t>Comparação entre Abordagens Univariadas e Multivariadas com Variáveis Macroeconômicas</w:t>
      </w:r>
    </w:p>
    <w:p>
      <w:pPr>
        <w:spacing w:before="0" w:after="0"/>
        <w:jc w:val="center"/>
      </w:pPr>
      <w:r>
        <w:rPr>
          <w:b/>
          <w:sz w:val="24"/>
        </w:rPr>
        <w:t>INTEGRANTES:</w:t>
        <w:br/>
        <w:t>Bruno César</w:t>
        <w:br/>
        <w:t>Daniel Guilherme</w:t>
        <w:br/>
        <w:t>Marcus</w:t>
        <w:br/>
        <w:t>Vinycius</w:t>
      </w:r>
    </w:p>
    <w:p>
      <w:r>
        <w:br w:type="page"/>
      </w:r>
    </w:p>
    <w:p>
      <w:pPr>
        <w:keepNext/>
        <w:spacing w:before="280" w:after="120"/>
      </w:pPr>
      <w:r>
        <w:rPr>
          <w:b/>
          <w:sz w:val="26"/>
        </w:rPr>
        <w:t>1. Introdução do Projeto</w:t>
      </w:r>
    </w:p>
    <w:p>
      <w:pPr>
        <w:spacing w:before="0" w:after="120"/>
        <w:jc w:val="both"/>
      </w:pPr>
      <w:r>
        <w:rPr>
          <w:b/>
          <w:sz w:val="24"/>
        </w:rPr>
        <w:t xml:space="preserve">Tema Central: </w:t>
      </w:r>
      <w:r>
        <w:rPr>
          <w:sz w:val="24"/>
        </w:rPr>
        <w:t>Este projeto propõe uma investigação empírica comparativa sobre a capacidade preditiva da inflação brasileira (IPCA), confrontando duas abordagens metodológicas distintas na mineração de séries temporais: a previsão univariada (baseada exclusivamente no histórico da própria série de inflação) versus a previsão multivariada (que combina a inércia temporal a fatores macroeconômicos exógenos, como taxa Selic, câmbio, atividade econômica, emprego formal e preços setoriais).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w:t>
      </w:r>
    </w:p>
    <w:p>
      <w:pPr>
        <w:spacing w:before="0" w:after="120"/>
        <w:ind w:firstLine="709"/>
        <w:jc w:val="both"/>
      </w:pPr>
      <w:r>
        <w:rPr>
          <w:sz w:val="24"/>
        </w:rPr>
        <w:t>A estabilidade de preços constitui um dos pilares fundamentais para o desenvolvimento socioeconômico sustentável de qualquer nação. No Brasil, a inflação afeta diretamente o poder de compra da população, distorce a alocação de recursos pelo mercado, eleva o custo de capital e impõe um clima de incerteza que retarda investimentos produtivos. O Índice Nacional de Preços ao Consumidor Amplo (IPCA), apurado mensalmente pelo IBGE, representa a medida oficial de inflação utilizada pelo Banco Central do Brasil para balizar a condução da política monetária.</w:t>
      </w:r>
    </w:p>
    <w:p>
      <w:pPr>
        <w:spacing w:before="0" w:after="120"/>
        <w:ind w:firstLine="709"/>
        <w:jc w:val="both"/>
      </w:pPr>
      <w:r>
        <w:rPr>
          <w:sz w:val="24"/>
        </w:rPr>
        <w:t>Nesse contexto, a capacidade de antecipar a trajetória do IPCA com acurácia é uma exigência estratégica tanto para a formulação de políticas públicas quanto para o planejamento financeiro e a gestão de riscos corporativos. Contudo, a modelagem do IPCA confronta um dilema metodológico clássico na mineração de dados: avaliar se a dinâmica dos preços é predominantemente explicada por sua própria inércia histórica ou se a incorporação de atributos externos é indispensável para capturar choques e mudanças de trajetória.</w:t>
      </w:r>
    </w:p>
    <w:p>
      <w:pPr>
        <w:spacing w:before="0" w:after="120"/>
        <w:ind w:firstLine="709"/>
        <w:jc w:val="both"/>
      </w:pPr>
      <w:r>
        <w:rPr>
          <w:sz w:val="24"/>
        </w:rPr>
        <w:t>Modelos univariados partem do princípio de que a autocorrelação e os padrões temporais passados contêm as informações primordiais para projetar períodos subsequentes. Por outro lado, modelos multivariados fundamentam-se na premissa de que variáveis econômicas correlatas fornecem sinais antecipados cruciais. A comparação sistemática entre essas duas perspectivas permite dimensionar o valor informacional agregado por variáveis exógenas e verificar em que medida o aumento da complexidade dimensional é justificado pelo ganho de desempenho preditivo.</w:t>
      </w:r>
    </w:p>
    <w:p>
      <w:pPr>
        <w:keepNext/>
        <w:spacing w:before="280" w:after="120"/>
      </w:pPr>
      <w:r>
        <w:rPr>
          <w:b/>
          <w:sz w:val="24"/>
        </w:rPr>
        <w:t>1.1 Contextualização</w:t>
      </w:r>
    </w:p>
    <w:p>
      <w:pPr>
        <w:spacing w:before="0" w:after="120"/>
        <w:ind w:firstLine="709"/>
        <w:jc w:val="both"/>
      </w:pPr>
      <w:r>
        <w:rPr>
          <w:sz w:val="24"/>
        </w:rPr>
        <w:t>O ambiente macroeconômico brasileiro é regido pelo sistema de metas para a inflação, no qual o Banco Central atua de forma prospectiva através da taxa básica de juros (Selic). Como as decisões de política monetária possuem defasagens temporais consideráveis até surtirem efeito pleno sobre os preços, a precisão das projeções é indispensável para a tomada de decisões preventivas.</w:t>
      </w:r>
    </w:p>
    <w:p>
      <w:pPr>
        <w:spacing w:before="0" w:after="120"/>
        <w:jc w:val="both"/>
      </w:pPr>
      <w:r>
        <w:rPr>
          <w:sz w:val="24"/>
        </w:rPr>
        <w:t>A relevância da previsão da inflação sob a ótica da Mineração de Dados manifesta-se em três esferas primordiais:</w:t>
      </w:r>
    </w:p>
    <w:p>
      <w:pPr>
        <w:spacing w:before="0" w:after="120"/>
        <w:ind w:firstLine="709"/>
        <w:jc w:val="both"/>
      </w:pPr>
      <w:r>
        <w:rPr>
          <w:b/>
          <w:sz w:val="24"/>
        </w:rPr>
        <w:t xml:space="preserve">Esfera Pública e Regulatória: </w:t>
      </w:r>
      <w:r>
        <w:rPr>
          <w:sz w:val="24"/>
        </w:rPr>
        <w:t>Projeções consistentes balizam decisões para a ancoragem das expectativas de mercado e para o cumprimento das metas inflacionárias oficiais.</w:t>
      </w:r>
    </w:p>
    <w:p>
      <w:pPr>
        <w:spacing w:before="0" w:after="120"/>
        <w:ind w:firstLine="709"/>
        <w:jc w:val="both"/>
      </w:pPr>
      <w:r>
        <w:rPr>
          <w:b/>
          <w:sz w:val="24"/>
        </w:rPr>
        <w:t xml:space="preserve">Esfera Empresarial e Financeira: </w:t>
      </w:r>
      <w:r>
        <w:rPr>
          <w:sz w:val="24"/>
        </w:rPr>
        <w:t>O planejamento financeiro, a formação de preços de empresas, a negociação de contratos de longo prazo e a gestão de carteiras indexadas à inflação dependem criticamente de projeções confiáveis.</w:t>
      </w:r>
    </w:p>
    <w:p>
      <w:pPr>
        <w:spacing w:before="0" w:after="120"/>
        <w:ind w:firstLine="709"/>
        <w:jc w:val="both"/>
      </w:pPr>
      <w:r>
        <w:rPr>
          <w:b/>
          <w:sz w:val="24"/>
        </w:rPr>
        <w:t xml:space="preserve">Esfera Científica e Tecnológica: </w:t>
      </w:r>
      <w:r>
        <w:rPr>
          <w:sz w:val="24"/>
        </w:rPr>
        <w:t>Oferece um campo experimental rigoroso para a Mineração de Dados em séries temporais, avaliando o trade-off entre parcimônia univariada e riqueza informacional multivariada.</w:t>
      </w:r>
    </w:p>
    <w:p>
      <w:pPr>
        <w:keepNext/>
        <w:spacing w:before="280" w:after="120"/>
      </w:pPr>
      <w:r>
        <w:rPr>
          <w:b/>
          <w:sz w:val="24"/>
        </w:rPr>
        <w:t>1.2 Descrição do Problema</w:t>
      </w:r>
    </w:p>
    <w:p>
      <w:pPr>
        <w:spacing w:before="0" w:after="120"/>
        <w:jc w:val="both"/>
      </w:pPr>
      <w:r>
        <w:rPr>
          <w:sz w:val="24"/>
        </w:rPr>
        <w:t>A modelagem preditiva do IPCA envolve a análise de duas formas distintas de estruturação do problema:</w:t>
      </w:r>
    </w:p>
    <w:p>
      <w:pPr>
        <w:spacing w:before="0" w:after="120"/>
        <w:ind w:firstLine="709"/>
        <w:jc w:val="both"/>
      </w:pPr>
      <w:r>
        <w:rPr>
          <w:b/>
          <w:sz w:val="24"/>
        </w:rPr>
        <w:t xml:space="preserve">Perspectiva Univariada (Apenas Histórico): </w:t>
      </w:r>
      <w:r>
        <w:rPr>
          <w:sz w:val="24"/>
        </w:rPr>
        <w:t>A taxa de inflação é explicada unicamente pelo seu comportamento autorregressivo, capturando a inércia inflacionária, a sazonalidade e as defasagens passadas do próprio IPCA.</w:t>
      </w:r>
    </w:p>
    <w:p>
      <w:pPr>
        <w:spacing w:before="0" w:after="120"/>
        <w:ind w:firstLine="709"/>
        <w:jc w:val="both"/>
      </w:pPr>
      <w:r>
        <w:rPr>
          <w:b/>
          <w:sz w:val="24"/>
        </w:rPr>
        <w:t xml:space="preserve">Perspectiva Multivariada (Histórico + Fatores Externos): </w:t>
      </w:r>
      <w:r>
        <w:rPr>
          <w:sz w:val="24"/>
        </w:rPr>
        <w:t>A taxa de inflação é modelada a partir da combinação entre o histórico temporal e um conjunto de atributos exógenos representativos de diversos setores da economia.</w:t>
      </w:r>
    </w:p>
    <w:p>
      <w:pPr>
        <w:spacing w:before="0" w:after="120"/>
        <w:ind w:firstLine="709"/>
        <w:jc w:val="both"/>
      </w:pPr>
      <w:r>
        <w:rPr>
          <w:sz w:val="24"/>
        </w:rPr>
        <w:t>A inclusão indiscriminada de variáveis macroeconômicas pode introduzir multicolinearidade e ruído, degradando a capacidade de generalização dos modelos. Dessa forma, torna-se essencial investigar não apenas se a abordagem multivariada supera a univariada, mas também quais grupos específicos de variáveis exercem maior impacto positivo na acurácia.</w:t>
      </w:r>
    </w:p>
    <w:p>
      <w:pPr>
        <w:spacing w:before="0" w:after="120"/>
        <w:jc w:val="both"/>
      </w:pPr>
      <w:r>
        <w:rPr>
          <w:b/>
          <w:sz w:val="24"/>
        </w:rPr>
        <w:t xml:space="preserve">Pergunta de Pesquisa Central: </w:t>
      </w:r>
      <w:r>
        <w:rPr>
          <w:sz w:val="24"/>
        </w:rPr>
        <w:t>"Em que medida a utilização de variáveis macroeconômicas exógenas melhora a acurácia preditiva do IPCA em comparação a modelos puramente univariados, e quais grupos de indicadores apresentam maior capacidade de antecipar a dinâmica inflacionária brasileira?"</w:t>
      </w:r>
    </w:p>
    <w:p>
      <w:pPr>
        <w:keepNext/>
        <w:spacing w:before="280" w:after="120"/>
      </w:pPr>
      <w:r>
        <w:rPr>
          <w:b/>
          <w:sz w:val="24"/>
        </w:rPr>
        <w:t>1.3 Objetivos</w:t>
      </w:r>
    </w:p>
    <w:p>
      <w:pPr>
        <w:keepNext/>
        <w:spacing w:before="280" w:after="120"/>
      </w:pPr>
      <w:r>
        <w:rPr>
          <w:b/>
          <w:sz w:val="24"/>
        </w:rPr>
        <w:t>1.3.1 Objetivo Geral</w:t>
      </w:r>
    </w:p>
    <w:p>
      <w:pPr>
        <w:spacing w:before="0" w:after="120"/>
        <w:ind w:firstLine="709"/>
        <w:jc w:val="both"/>
      </w:pPr>
      <w:r>
        <w:rPr>
          <w:sz w:val="24"/>
        </w:rPr>
        <w:t>Desenvolver, aplicar e avaliar comparativamente modelos de mineração de dados em séries temporais para a previsão do IPCA brasileiro, confrontando a eficácia da abordagem univariada com a abordagem multivariada e identificando os grupos de variáveis macroeconômicas mais relevantes para a antecipação da inflação.</w:t>
      </w:r>
    </w:p>
    <w:p>
      <w:pPr>
        <w:keepNext/>
        <w:spacing w:before="280" w:after="120"/>
      </w:pPr>
      <w:r>
        <w:rPr>
          <w:b/>
          <w:sz w:val="24"/>
        </w:rPr>
        <w:t>1.3.2 Objetivos Específicos</w:t>
      </w:r>
    </w:p>
    <w:p>
      <w:pPr>
        <w:spacing w:before="0" w:after="120"/>
        <w:ind w:firstLine="709"/>
        <w:jc w:val="both"/>
      </w:pPr>
      <w:r>
        <w:rPr>
          <w:b/>
          <w:sz w:val="24"/>
        </w:rPr>
        <w:t xml:space="preserve">1. Estruturação e Engenharia de Dados: </w:t>
      </w:r>
      <w:r>
        <w:rPr>
          <w:sz w:val="24"/>
        </w:rPr>
        <w:t>Coletar, tratar e consolidar a série histórica mensal do IPCA e das 28 variáveis macroeconômicas exógenas obtidas junto ao Sistema Gerenciador de Séries Temporais do Banco Central do Brasil (SGS/BACEN).</w:t>
      </w:r>
    </w:p>
    <w:p>
      <w:pPr>
        <w:spacing w:before="0" w:after="120"/>
        <w:ind w:firstLine="709"/>
        <w:jc w:val="both"/>
      </w:pPr>
      <w:r>
        <w:rPr>
          <w:b/>
          <w:sz w:val="24"/>
        </w:rPr>
        <w:t xml:space="preserve">2. Categorização dos Grupos de Variáveis: </w:t>
      </w:r>
      <w:r>
        <w:rPr>
          <w:sz w:val="24"/>
        </w:rPr>
        <w:t>Agrupar as variáveis exógenas em dimensões analíticas estruturadas (Índices de Preços e Desagregações, Setor Financeiro e Câmbio, Atividade Econômica e Emprego, Energia e Combustíveis).</w:t>
      </w:r>
    </w:p>
    <w:p>
      <w:pPr>
        <w:spacing w:before="0" w:after="120"/>
        <w:ind w:firstLine="709"/>
        <w:jc w:val="both"/>
      </w:pPr>
      <w:r>
        <w:rPr>
          <w:b/>
          <w:sz w:val="24"/>
        </w:rPr>
        <w:t xml:space="preserve">3. Modelagem Univariada de Referência: </w:t>
      </w:r>
      <w:r>
        <w:rPr>
          <w:sz w:val="24"/>
        </w:rPr>
        <w:t>Implementar e calibrar modelos preditivos baseados exclusivamente no histórico do IPCA (ARIMA e regressores autorregressivos), estabelecendo a linha de base inercial.</w:t>
      </w:r>
    </w:p>
    <w:p>
      <w:pPr>
        <w:spacing w:before="0" w:after="120"/>
        <w:ind w:firstLine="709"/>
        <w:jc w:val="both"/>
      </w:pPr>
      <w:r>
        <w:rPr>
          <w:b/>
          <w:sz w:val="24"/>
        </w:rPr>
        <w:t xml:space="preserve">4. Modelagem Multivariada: </w:t>
      </w:r>
      <w:r>
        <w:rPr>
          <w:sz w:val="24"/>
        </w:rPr>
        <w:t>Implementar modelos que incorporam as variáveis exógenas (como ARIMAX, Lasso e Random Forest) para capturar relações lineares e não lineares entre os indicadores macroeconômicos e o IPCA.</w:t>
      </w:r>
    </w:p>
    <w:p>
      <w:pPr>
        <w:spacing w:before="0" w:after="120"/>
        <w:ind w:firstLine="709"/>
        <w:jc w:val="both"/>
      </w:pPr>
      <w:r>
        <w:rPr>
          <w:b/>
          <w:sz w:val="24"/>
        </w:rPr>
        <w:t xml:space="preserve">5. Análise da Capacidade Preditiva por Grupo: </w:t>
      </w:r>
      <w:r>
        <w:rPr>
          <w:sz w:val="24"/>
        </w:rPr>
        <w:t>Avaliar o impacto e a relevância relativa de cada grupo temático de variáveis na melhoria do desempenho preditivo dos modelos.</w:t>
      </w:r>
    </w:p>
    <w:p>
      <w:pPr>
        <w:spacing w:before="0" w:after="120"/>
        <w:ind w:firstLine="709"/>
        <w:jc w:val="both"/>
      </w:pPr>
      <w:r>
        <w:rPr>
          <w:b/>
          <w:sz w:val="24"/>
        </w:rPr>
        <w:t xml:space="preserve">6. Avaliação Comparativa Walk-Forward: </w:t>
      </w:r>
      <w:r>
        <w:rPr>
          <w:sz w:val="24"/>
        </w:rPr>
        <w:t>Conduzir validação dinâmica sequencial (1-passo à frente) mensurando métricas formais de erro (RMSE, MAE e MAPE) para contrastar rigorosamente as abordagens univariada e multivariada.</w:t>
      </w:r>
    </w:p>
    <w:p>
      <w:pPr>
        <w:keepNext/>
        <w:spacing w:before="280" w:after="120"/>
      </w:pPr>
      <w:r>
        <w:rPr>
          <w:b/>
          <w:sz w:val="24"/>
        </w:rPr>
        <w:t>1.4 Justificativa</w:t>
      </w:r>
    </w:p>
    <w:p>
      <w:pPr>
        <w:spacing w:before="0" w:after="120"/>
        <w:jc w:val="both"/>
      </w:pPr>
      <w:r>
        <w:rPr>
          <w:sz w:val="24"/>
        </w:rPr>
        <w:t>A justificativa para a realização deste trabalho fundamenta-se em quatro dimensões principais:</w:t>
      </w:r>
    </w:p>
    <w:p>
      <w:pPr>
        <w:spacing w:before="0" w:after="120"/>
        <w:ind w:firstLine="709"/>
        <w:jc w:val="both"/>
      </w:pPr>
      <w:r>
        <w:rPr>
          <w:b/>
          <w:sz w:val="24"/>
        </w:rPr>
        <w:t xml:space="preserve">Relevância Metodológica: </w:t>
      </w:r>
      <w:r>
        <w:rPr>
          <w:sz w:val="24"/>
        </w:rPr>
        <w:t>Proporciona uma comparação direta e controlada entre duas abordagens fundamentais de séries temporais na mineração de dados, testando o real benefício da inclusão de atributos exógenos.</w:t>
      </w:r>
    </w:p>
    <w:p>
      <w:pPr>
        <w:spacing w:before="0" w:after="120"/>
        <w:ind w:firstLine="709"/>
        <w:jc w:val="both"/>
      </w:pPr>
      <w:r>
        <w:rPr>
          <w:b/>
          <w:sz w:val="24"/>
        </w:rPr>
        <w:t xml:space="preserve">Eficiência e Parcimônia: </w:t>
      </w:r>
      <w:r>
        <w:rPr>
          <w:sz w:val="24"/>
        </w:rPr>
        <w:t>Permite identificar se modelos univariados mais simples são suficientes para antecipar a inflação ou se o custo computacional e amostral de modelos multivariados é plenamente justificado.</w:t>
      </w:r>
    </w:p>
    <w:p>
      <w:pPr>
        <w:spacing w:before="0" w:after="120"/>
        <w:ind w:firstLine="709"/>
        <w:jc w:val="both"/>
      </w:pPr>
      <w:r>
        <w:rPr>
          <w:b/>
          <w:sz w:val="24"/>
        </w:rPr>
        <w:t xml:space="preserve">Interpretabilidade Econômica: </w:t>
      </w:r>
      <w:r>
        <w:rPr>
          <w:sz w:val="24"/>
        </w:rPr>
        <w:t>A análise por grupos de variáveis explicita quais setores econômicos (como câmbio, combustíveis ou mercado de trabalho) transmitem sinais preditivos com maior intensidade sobre o índice oficial de preços.</w:t>
      </w:r>
    </w:p>
    <w:p>
      <w:pPr>
        <w:spacing w:before="0" w:after="120"/>
        <w:ind w:firstLine="709"/>
        <w:jc w:val="both"/>
      </w:pPr>
      <w:r>
        <w:rPr>
          <w:b/>
          <w:sz w:val="24"/>
        </w:rPr>
        <w:t xml:space="preserve">Impacto Prático: </w:t>
      </w:r>
      <w:r>
        <w:rPr>
          <w:sz w:val="24"/>
        </w:rPr>
        <w:t>Gera subsídios técnicos para a construção de esteiras preditivas mais assertivas em cenários de planejamento orçamentário e análise de conjuntura macroeconômica.</w:t>
      </w:r>
    </w:p>
    <w:p>
      <w:pPr>
        <w:keepNext/>
        <w:spacing w:before="280" w:after="120"/>
      </w:pPr>
      <w:r>
        <w:rPr>
          <w:b/>
          <w:sz w:val="24"/>
        </w:rPr>
        <w:t>1.5 Escopo Negativo</w:t>
      </w:r>
    </w:p>
    <w:p>
      <w:pPr>
        <w:spacing w:before="0" w:after="120"/>
        <w:jc w:val="both"/>
      </w:pPr>
      <w:r>
        <w:rPr>
          <w:sz w:val="24"/>
        </w:rPr>
        <w:t>Não fazem parte do escopo deste trabalho:</w:t>
      </w:r>
    </w:p>
    <w:p>
      <w:pPr>
        <w:spacing w:before="0" w:after="120"/>
        <w:ind w:firstLine="709"/>
        <w:jc w:val="both"/>
      </w:pPr>
      <w:r>
        <w:rPr>
          <w:b/>
          <w:sz w:val="24"/>
        </w:rPr>
        <w:t xml:space="preserve">Dados Internacionais: </w:t>
      </w:r>
      <w:r>
        <w:rPr>
          <w:sz w:val="24"/>
        </w:rPr>
        <w:t>O estudo restringe-se exclusivamente à economia brasileira (IPCA), não incluindo dados ou comparações com o mercado dos Estados Unidos (CPI).</w:t>
      </w:r>
    </w:p>
    <w:p>
      <w:pPr>
        <w:spacing w:before="0" w:after="120"/>
        <w:ind w:firstLine="709"/>
        <w:jc w:val="both"/>
      </w:pPr>
      <w:r>
        <w:rPr>
          <w:b/>
          <w:sz w:val="24"/>
        </w:rPr>
        <w:t xml:space="preserve">Processamento de Linguagem Natural (NLP): </w:t>
      </w:r>
      <w:r>
        <w:rPr>
          <w:sz w:val="24"/>
        </w:rPr>
        <w:t>O trabalho não abrange a análise de textos, atas do COPOM ou técnicas de modelagem de tópicos (BERTopic), focando unicamente em dados temporais estruturados.</w:t>
      </w:r>
    </w:p>
    <w:p>
      <w:pPr>
        <w:spacing w:before="0" w:after="120"/>
        <w:ind w:firstLine="709"/>
        <w:jc w:val="both"/>
      </w:pPr>
      <w:r>
        <w:rPr>
          <w:b/>
          <w:sz w:val="24"/>
        </w:rPr>
        <w:t xml:space="preserve">Arquiteturas Multimodais: </w:t>
      </w:r>
      <w:r>
        <w:rPr>
          <w:sz w:val="24"/>
        </w:rPr>
        <w:t>Não contempla a combinação de dados qualitativos não estruturados com séries quantitativas.</w:t>
      </w:r>
    </w:p>
    <w:p>
      <w:pPr>
        <w:spacing w:before="0" w:after="120"/>
        <w:ind w:firstLine="709"/>
        <w:jc w:val="both"/>
      </w:pPr>
      <w:r>
        <w:rPr>
          <w:b/>
          <w:sz w:val="24"/>
        </w:rPr>
        <w:t xml:space="preserve">Previsão Intradiária ou Diária: </w:t>
      </w:r>
      <w:r>
        <w:rPr>
          <w:sz w:val="24"/>
        </w:rPr>
        <w:t>A análise restringe-se estritamente à frequência mensal.</w:t>
      </w:r>
    </w:p>
    <w:p>
      <w:pPr>
        <w:spacing w:before="0" w:after="120"/>
        <w:ind w:firstLine="709"/>
        <w:jc w:val="both"/>
      </w:pPr>
      <w:r>
        <w:rPr>
          <w:b/>
          <w:sz w:val="24"/>
        </w:rPr>
        <w:t xml:space="preserve">Diretrizes Normativas de Política Monetária: </w:t>
      </w:r>
      <w:r>
        <w:rPr>
          <w:sz w:val="24"/>
        </w:rPr>
        <w:t>Estudo de natureza estritamente preditiva e analítica, sem proposição de regras prescritivas para a condução de taxas de juros.</w:t>
      </w:r>
    </w:p>
    <w:p>
      <w:pPr>
        <w:keepNext/>
        <w:spacing w:before="280" w:after="120"/>
      </w:pPr>
      <w:r>
        <w:rPr>
          <w:b/>
          <w:sz w:val="26"/>
        </w:rPr>
        <w:t>2. Fundamentação Teórica e Trabalhos Relacionados</w:t>
      </w:r>
    </w:p>
    <w:p>
      <w:pPr>
        <w:keepNext/>
        <w:spacing w:before="280" w:after="120"/>
      </w:pPr>
      <w:r>
        <w:rPr>
          <w:b/>
          <w:sz w:val="24"/>
        </w:rPr>
        <w:t>2.1 Dinâmica Macroeconômica da Inflação no Brasil</w:t>
      </w:r>
    </w:p>
    <w:p>
      <w:pPr>
        <w:spacing w:before="0" w:after="120"/>
        <w:ind w:firstLine="709"/>
        <w:jc w:val="both"/>
      </w:pPr>
      <w:r>
        <w:rPr>
          <w:sz w:val="24"/>
        </w:rPr>
        <w:t>A compreensão dos determinantes da inflação repousa sobre a análise conjunta de mecanismos de demanda agregada, choques de oferta e rigidez de preços. Conforme discutido na literatura clássica de macroeconomia por Mankiw [1] e Blanchard [4], o comportamento dos preços em uma economia reflete o equilíbrio entre o nível de atividade produtiva, os custos dos insumos e as expectativas dos agentes econômicos. No contexto brasileiro, soma-se a esses fatores a expressiva inércia inflacionária decorrente de indexações contratuais passadas.</w:t>
      </w:r>
    </w:p>
    <w:p>
      <w:pPr>
        <w:keepNext/>
        <w:spacing w:before="280" w:after="120"/>
      </w:pPr>
      <w:r>
        <w:rPr>
          <w:b/>
          <w:sz w:val="24"/>
        </w:rPr>
        <w:t>2.2 Mineração de Dados em Séries Temporais e Seleção de Atributos</w:t>
      </w:r>
    </w:p>
    <w:p>
      <w:pPr>
        <w:spacing w:before="0" w:after="120"/>
        <w:ind w:firstLine="709"/>
        <w:jc w:val="both"/>
      </w:pPr>
      <w:r>
        <w:rPr>
          <w:sz w:val="24"/>
        </w:rPr>
        <w:t>A aplicação de técnicas de mineração de dados a séries temporais macroeconômicas busca identificar padrões de dependência sequencial e relações entre múltiplas séries. No entanto, a incorporação indiscriminada de variáveis em modelos preditivos esbarra no fenômeno da maldição da dimensionalidade e na multicolinearidade. A identificação prévia de atributos relevantes torna-se, portanto, uma etapa crítica para evitar o sobreajuste e garantir a robustez na generalização fora da amostra.</w:t>
      </w:r>
    </w:p>
    <w:p>
      <w:pPr>
        <w:keepNext/>
        <w:spacing w:before="280" w:after="120"/>
      </w:pPr>
      <w:r>
        <w:rPr>
          <w:b/>
          <w:sz w:val="24"/>
        </w:rPr>
        <w:t>2.3 Trabalhos Relacionados</w:t>
      </w:r>
    </w:p>
    <w:p>
      <w:pPr>
        <w:spacing w:before="0" w:after="120"/>
        <w:jc w:val="both"/>
      </w:pPr>
      <w:r>
        <w:rPr>
          <w:sz w:val="24"/>
        </w:rPr>
        <w:t>A literatura dedicada à modelagem e previsão da inflação e de séries temporais econômico-financeiras divide-se em três eixos principais de pesquisa, os quais fundamentam a abordagem adotada neste projeto:</w:t>
      </w:r>
    </w:p>
    <w:p>
      <w:pPr>
        <w:spacing w:before="0" w:after="120"/>
        <w:ind w:firstLine="709"/>
        <w:jc w:val="both"/>
      </w:pPr>
      <w:r>
        <w:rPr>
          <w:b/>
          <w:sz w:val="24"/>
        </w:rPr>
        <w:t xml:space="preserve">1. Fundamentos Teóricos e Desafios da Previsão Macroeconômica: </w:t>
      </w:r>
      <w:r>
        <w:rPr>
          <w:sz w:val="24"/>
        </w:rPr>
        <w:t>A relação histórica entre inflação, salários e mercado de trabalho foi formalizada seminalmente por Phillips [5], cuja formulação clássica estabeleceu o trade-off de curto prazo entre desemprego e variação salarial. Posteriormente, Friedman [7] ampliou essa discussão ao introduzir o papel fundamental da política monetária e da taxa natural de desemprego, enfatizando a importância das expectativas inflacionárias na determinação dos preços. No campo das obras de referência teórica, Mankiw [1] e Blanchard [4] consolidam os mecanismos contemporâneos de transmissão monetária, detalhando como variações na taxa básica de juros e no câmbio afetam a dinâmica do nível geral de preços. No que tange aos desafios empíricos de projeção, Stock e Watson [6] investigaram por que a inflação se tornou mais difícil de prever ao longo das últimas décadas, demonstrando que mudanças estruturais na volatilidade macroeconômica e a ancoragem das expectativas limitam a eficácia de modelos puramente lineares tradicionais.</w:t>
      </w:r>
    </w:p>
    <w:p>
      <w:pPr>
        <w:spacing w:before="0" w:after="120"/>
        <w:ind w:firstLine="709"/>
        <w:jc w:val="both"/>
      </w:pPr>
      <w:r>
        <w:rPr>
          <w:b/>
          <w:sz w:val="24"/>
        </w:rPr>
        <w:t xml:space="preserve">2. Mineração de Séries Temporais e Seleção de Atributos: </w:t>
      </w:r>
      <w:r>
        <w:rPr>
          <w:sz w:val="24"/>
        </w:rPr>
        <w:t>Em ambientes de alta dimensionalidade de dados temporais, a seleção de atributos desempenha um papel determinante na precisão dos modelos. Miałkowska, Nosarzewski e Kustra [2] realizaram uma comparação sistemática de técnicas de seleção de atributos aplicadas a dados financeiros, evidenciando que a eliminação de variáveis redundantes reduz substancialmente o erro de generalização dos algoritmos preditivos. De forma complementar, Fan et al. [8] investigaram metodologias específicas de seleção de variáveis voltadas para a modelagem de séries temporais, ressaltando a necessidade de preservar as relações temporais e as defasagens estruturais dos atributos. No domínio dos métodos avançados de busca, Al-Dmour et al. [9] forneceram uma revisão abrangente sobre algoritmos bioinspirados para seleção de características, detalhando a aplicabilidade de meta-heurísticas em espaços de busca complexos. Em consonância, Brandão et al. [12] executaram um estudo comparativo (benchmarking) de abordagens bioinspiradas de aprendizado de máquina automatizado voltadas especificamente para tarefas econômicas, comprovando a superioridade de subconjuntos refinados de variáveis frente ao uso indiscriminado de bases amplas.</w:t>
      </w:r>
    </w:p>
    <w:p>
      <w:pPr>
        <w:spacing w:before="0" w:after="120"/>
        <w:ind w:firstLine="709"/>
        <w:jc w:val="both"/>
      </w:pPr>
      <w:r>
        <w:rPr>
          <w:b/>
          <w:sz w:val="24"/>
        </w:rPr>
        <w:t xml:space="preserve">3. Modelagem de Séries Temporais e Comparação Linear vs. Não Linear: </w:t>
      </w:r>
      <w:r>
        <w:rPr>
          <w:sz w:val="24"/>
        </w:rPr>
        <w:t>O debate entre a suficiência de modelos lineares clássicos e o potencial de algoritmos de aprendizado de máquina supervisionado tem motivado diversas pesquisas na área. Zhang [3] propôs uma abordagem pioneira de modelagem híbrida para séries temporais combinando modelos ARIMA com redes neurais artificiais, estabelecendo a base para a separação entre componentes lineares e resíduos não lineares. Khashei et al. [11] aprofundaram essa comparação metodológica ao avaliar quais estruturas são mais eficientes na combinação de modelos lineares e não lineares para a previsão de séries temporais. Na mesma linha de investigação, Oladele [10] analisou o desempenho de modelos integrados de análise temporal e aprendizado de máquina para previsão de mercado, constatando que a resposta preditiva depende fortemente da representação das variáveis de entrada.</w:t>
      </w:r>
    </w:p>
    <w:p>
      <w:pPr>
        <w:spacing w:before="0" w:after="120"/>
        <w:ind w:firstLine="709"/>
        <w:jc w:val="both"/>
      </w:pPr>
      <w:r>
        <w:rPr>
          <w:sz w:val="24"/>
        </w:rPr>
        <w:t>A partir da análise desses trabalhos relacionados, evidencia-se uma lacuna e oportunidade clara de pesquisa aplicada: avaliar, no contexto da economia brasileira contemporânea, se a sofisticação multivariada decorrente da inclusão de conjuntos temáticos de variáveis macroeconômicas exógenas oferece ganhos estatisticamente consistentes sobre modelos univariados parcimoniosos na previsão do IPCA.</w:t>
      </w:r>
    </w:p>
    <w:p>
      <w:pPr>
        <w:keepNext/>
        <w:spacing w:before="280" w:after="120"/>
      </w:pPr>
      <w:r>
        <w:rPr>
          <w:b/>
          <w:sz w:val="26"/>
        </w:rPr>
        <w:t>3. Planejamento, Governança e Dados do Projeto</w:t>
      </w:r>
    </w:p>
    <w:p>
      <w:pPr>
        <w:keepNext/>
        <w:spacing w:before="280" w:after="120"/>
      </w:pPr>
      <w:r>
        <w:rPr>
          <w:b/>
          <w:sz w:val="24"/>
        </w:rPr>
        <w:t>3.1 Stakeholders Envolvidos no Projeto</w:t>
      </w:r>
    </w:p>
    <w:p>
      <w:pPr>
        <w:spacing w:before="0" w:after="120"/>
        <w:jc w:val="both"/>
      </w:pPr>
      <w:r>
        <w:rPr>
          <w:sz w:val="24"/>
        </w:rPr>
        <w:t>No estágio atual de desenvolvimento deste trabalho acadêmico, os stakeholders finais e parceiros institucionais externos ainda seguem sem definição formal definitiva, estando o projeto estruturado como uma pesquisa acadêmica no âmbito da disciplina de Mineração de Dados da POLI-UPE. Contudo, para fins de governança e direcionamento de valor, mapeou-se conceitualmente o conjunto de atores e partes interessadas potenciais:</w:t>
      </w:r>
    </w:p>
    <w:p>
      <w:pPr>
        <w:spacing w:before="0" w:after="120"/>
        <w:ind w:firstLine="709"/>
        <w:jc w:val="both"/>
      </w:pPr>
      <w:r>
        <w:rPr>
          <w:b/>
          <w:sz w:val="24"/>
        </w:rPr>
        <w:t xml:space="preserve">Equipe de Desenvolvimento e Pesquisa: </w:t>
      </w:r>
      <w:r>
        <w:rPr>
          <w:sz w:val="24"/>
        </w:rPr>
        <w:t>Composta pelos integrantes do grupo acadêmico, responsáveis diretos pela coleta, tratamento dos dados, implementação dos algoritmos de mineração temporal, condução dos experimentos e redação do artigo.</w:t>
      </w:r>
    </w:p>
    <w:p>
      <w:pPr>
        <w:spacing w:before="0" w:after="120"/>
        <w:ind w:firstLine="709"/>
        <w:jc w:val="both"/>
      </w:pPr>
      <w:r>
        <w:rPr>
          <w:b/>
          <w:sz w:val="24"/>
        </w:rPr>
        <w:t xml:space="preserve">Corpo Docente e Avaliadores Acadêmicos: </w:t>
      </w:r>
      <w:r>
        <w:rPr>
          <w:sz w:val="24"/>
        </w:rPr>
        <w:t>Docentes da disciplina de Mineração de Dados da Escola Politécnica de Pernambuco (POLI-UPE), responsáveis pela orientação metodológica, validação dos critérios científicos e avaliação do rigor técnico do projeto.</w:t>
      </w:r>
    </w:p>
    <w:p>
      <w:pPr>
        <w:spacing w:before="0" w:after="120"/>
        <w:ind w:firstLine="709"/>
        <w:jc w:val="both"/>
      </w:pPr>
      <w:r>
        <w:rPr>
          <w:b/>
          <w:sz w:val="24"/>
        </w:rPr>
        <w:t xml:space="preserve">Agentes do Sistema Financeiro e Mercado de Capitais: </w:t>
      </w:r>
      <w:r>
        <w:rPr>
          <w:sz w:val="24"/>
        </w:rPr>
        <w:t>Gestores de carteiras de renda fixa, analistas de risco de crédito e operadores de mercado que demandam projeções mensais de inflação para a precificação de contratos futuros de DI, títulos públicos indexados (NTN-B) e estratégias de hedge.</w:t>
      </w:r>
    </w:p>
    <w:p>
      <w:pPr>
        <w:spacing w:before="0" w:after="120"/>
        <w:ind w:firstLine="709"/>
        <w:jc w:val="both"/>
      </w:pPr>
      <w:r>
        <w:rPr>
          <w:b/>
          <w:sz w:val="24"/>
        </w:rPr>
        <w:t xml:space="preserve">Setor Corporativo e Tomadores de Decisão: </w:t>
      </w:r>
      <w:r>
        <w:rPr>
          <w:sz w:val="24"/>
        </w:rPr>
        <w:t>Departamentos financeiros e de planejamento orçamentário de empresas que utilizam a projeção do IPCA para reajustes de contratos de prestação de serviços, negociações sindicais salariais e precificação de produtos.</w:t>
      </w:r>
    </w:p>
    <w:p>
      <w:pPr>
        <w:spacing w:before="0" w:after="120"/>
        <w:ind w:firstLine="709"/>
        <w:jc w:val="both"/>
      </w:pPr>
      <w:r>
        <w:rPr>
          <w:b/>
          <w:sz w:val="24"/>
        </w:rPr>
        <w:t xml:space="preserve">Setor Público e Autoridades Regulatórias: </w:t>
      </w:r>
      <w:r>
        <w:rPr>
          <w:sz w:val="24"/>
        </w:rPr>
        <w:t>Analistas e instituições do setor público que monitoram a evolução de preços e a eficácia de indicadores antecedentes para a análise da conjuntura macroeconômica nacional.</w:t>
      </w:r>
    </w:p>
    <w:p>
      <w:pPr>
        <w:spacing w:before="280" w:after="120" w:line="276" w:lineRule="auto"/>
        <w:jc w:val="left"/>
      </w:pPr>
      <w:r>
        <w:rPr>
          <w:rFonts w:ascii="Arial" w:hAnsi="Arial"/>
          <w:b/>
          <w:sz w:val="24"/>
        </w:rPr>
        <w:t>3.2 Dicionário e Inventário de Dados do Projeto</w:t>
      </w:r>
    </w:p>
    <w:p>
      <w:pPr>
        <w:spacing w:before="80" w:after="120" w:line="276" w:lineRule="auto"/>
        <w:jc w:val="both"/>
      </w:pPr>
      <w:r>
        <w:rPr>
          <w:rFonts w:ascii="Arial" w:hAnsi="Arial"/>
          <w:sz w:val="24"/>
        </w:rPr>
        <w:t>A base de dados empírica empregada neste trabalho foi construída a partir da coleta automatizada de séries temporais oficiais disponibilizadas pelo Banco Central do Brasil (BACEN), por intermédio de sua API pública integrada ao Sistema Gerenciador de Séries Temporais (SGS/BACEN). O horizonte temporal estende-se de março de 2012 até 2026, compreendendo observações mensais contínuas na frequência Month Start (MS), sem lacunas amostrais.</w:t>
      </w:r>
    </w:p>
    <w:p>
      <w:pPr>
        <w:spacing w:before="0" w:after="160" w:line="276" w:lineRule="auto"/>
        <w:jc w:val="both"/>
      </w:pPr>
      <w:r>
        <w:rPr>
          <w:rFonts w:ascii="Arial" w:hAnsi="Arial"/>
          <w:sz w:val="24"/>
        </w:rPr>
        <w:t>O conjunto de dados consolida 1 variável dependente alvo (target) e 28 variáveis preditivas exógenas (atributos exógenos), estruturadas em quatro dimensões macroeconômicas funcionais da economia brasileira: (i) Índices de Preços e Desagregações Setoriais (11 variáveis); (ii) Setor Financeiro, Moeda e Câmbio (3 variáveis); (iii) Atividade Econômica e Mercado de Trabalho (7 variáveis); e (iv) Energia e Combustíveis (6 variáveis). A Tabela 1 apresenta o dicionário completo de dados do projeto, detalhando os identificadores oficiais no SGS/BACEN, tipagem computacional, unidades de medida, papel metodológico e a respectiva descrição econômica.</w:t>
      </w:r>
    </w:p>
    <w:p>
      <w:pPr>
        <w:spacing w:before="200" w:after="80" w:line="276" w:lineRule="auto"/>
        <w:jc w:val="center"/>
      </w:pPr>
      <w:r>
        <w:rPr>
          <w:rFonts w:ascii="Arial" w:hAnsi="Arial"/>
          <w:b/>
          <w:sz w:val="21"/>
        </w:rPr>
        <w:t>Tabela 1 – Dicionário de Dados e Inventário de Atributos Macroeconômicos</w:t>
      </w:r>
    </w:p>
    <w:tbl>
      <w:tblPr>
        <w:tblW w:type="auto" w:w="0"/>
        <w:tblLook w:firstColumn="1" w:firstRow="1" w:lastColumn="0" w:lastRow="0" w:noHBand="0" w:noVBand="1" w:val="04A0"/>
      </w:tblPr>
      <w:tblGrid>
        <w:gridCol w:w="1344"/>
        <w:gridCol w:w="1344"/>
        <w:gridCol w:w="1344"/>
        <w:gridCol w:w="1344"/>
        <w:gridCol w:w="1344"/>
        <w:gridCol w:w="1344"/>
        <w:gridCol w:w="1344"/>
      </w:tblGrid>
      <w:tr>
        <w:trPr>
          <w:tblHeader/>
          <w:cantSplit/>
        </w:trPr>
        <w:tc>
          <w:tcPr>
            <w:tcW w:type="dxa" w:w="1728"/>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Atributo</w:t>
            </w:r>
          </w:p>
        </w:tc>
        <w:tc>
          <w:tcPr>
            <w:tcW w:type="dxa" w:w="792"/>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Código SGS</w:t>
            </w:r>
          </w:p>
        </w:tc>
        <w:tc>
          <w:tcPr>
            <w:tcW w:type="dxa" w:w="144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Dimensão Econômica</w:t>
            </w:r>
          </w:p>
        </w:tc>
        <w:tc>
          <w:tcPr>
            <w:tcW w:type="dxa" w:w="108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Unidade</w:t>
            </w:r>
          </w:p>
        </w:tc>
        <w:tc>
          <w:tcPr>
            <w:tcW w:type="dxa" w:w="720"/>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Tipo</w:t>
            </w:r>
          </w:p>
        </w:tc>
        <w:tc>
          <w:tcPr>
            <w:tcW w:type="dxa" w:w="1296"/>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Papel no Modelo</w:t>
            </w:r>
          </w:p>
        </w:tc>
        <w:tc>
          <w:tcPr>
            <w:tcW w:type="dxa" w:w="2304"/>
            <w:tcMar>
              <w:top w:w="70" w:type="dxa"/>
              <w:bottom w:w="70" w:type="dxa"/>
              <w:left w:w="70" w:type="dxa"/>
              <w:right w:w="70" w:type="dxa"/>
            </w:tcMar>
            <w:shd w:fill="EAECEF"/>
            <w:tcBorders>
              <w:top w:val="single" w:sz="4" w:space="0" w:color="999999"/>
              <w:left w:val="single" w:sz="4" w:space="0" w:color="D0D5DD"/>
              <w:bottom w:val="single" w:sz="4" w:space="0" w:color="999999"/>
              <w:right w:val="single" w:sz="4" w:space="0" w:color="D0D5DD"/>
            </w:tcBorders>
            <w:vAlign w:val="center"/>
          </w:tcPr>
          <w:p>
            <w:pPr>
              <w:spacing w:before="0" w:after="0" w:line="240" w:lineRule="auto"/>
              <w:jc w:val="center"/>
            </w:pPr>
            <w:r>
              <w:rPr>
                <w:rFonts w:ascii="Arial" w:hAnsi="Arial"/>
                <w:b/>
                <w:sz w:val="17"/>
              </w:rPr>
              <w:t>Descrição e Significado Econômico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Date</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Temporal</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AAAA-MM-DD</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Date</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Temporal</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Data de referência mensal da observação.</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b/>
                <w:sz w:val="16"/>
              </w:rPr>
              <w:t>IPCA</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4447</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b/>
                <w:sz w:val="16"/>
              </w:rPr>
              <w:t>Variável Alvo (y)</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Nacional de Preços ao Consumidor Amplo (Meta oficial de inflação do BACEN).</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IPCA_Transportes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1639</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transportes públicos, veículos automotores e combustíveis.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 Alimentação_bebidas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1635</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alimentos consumidos no domicílio e alimentação fora do lar.</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INPC_Habitação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1636</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aluguel residencial, condomínio, gás e energia elétrica domiciliar.</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IPCA_Saúde_cuidados_pessoais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produtos farmacêuticos, planos de saúde e serviços pessoais.</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IPCA_Vestuário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1638</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mensal de artigos de vestuário, calçados e tecidos.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IPCA_Educação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mensalidades escolares, ensino superior, cursos e material didático.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IPCA_Despesas_Pessoais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1642</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Desagregação IPCA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Variação de serviços recreativos, culturais, tabacaria e serviços diversos.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USDBRL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3696</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Financeiro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 / US$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câmbio PTAX de venda do Dólar Americano (canal de pass-through).</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SELIC</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4390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Financeiro</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juros média nominal fixada pelo COPOM (Taxa Over/Selic).</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Reservas Internacionais</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3546</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Setor Externo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US$ Mi</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Montante total de liquidez internacional custodiada pela autoridade monetária.</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INPC</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188</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Nacional de Preços ao Consumidor (famílias de 1 a 5 salários mínimos).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IGP_M</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189</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Geral de Preços do Mercado (FGV) - indicador antecedente do atacado.</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IGP_DI</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190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Geral de Preços - Disponibilidade Interna (FGV).</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IPC_BR</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191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 a.m.</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Índice de Preços ao Consumidor - Brasil (FGV).</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PIB Mensal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4380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Atividade Econômica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 Mi</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Estimativa mensal do Produto Interno Bruto a preços correntes.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Desemprego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24369</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Mercado de Trabalho</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Taxa de desocupação mensal da população civil (PNAD Contínua/IBGE).</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SalMinimo</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1619</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Mercado de Trabalho</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R$</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Valor nominal fixado por lei federal para o Salário Mínimo nacional.</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Estoque_Empregos_Formais_Total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28763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total de postos de trabalho formais celetistas ativos (CAGED).</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Estoque_Empregos_Formais_Agropecuária</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28764</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de postos formais ativos no setor agropecuário (CAGED).</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Estoque_Empregos_Formais_Construção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28770</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Emprego Formal</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Vínculos</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Int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Estoque de postos formais ativos no setor da construção civil (CAGED).</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QteOvos</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1310</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Agropecuária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Dúz.</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Produção física de ovos de galinha (indicador da oferta alimentar).</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Produção_Derivados_Petróleo</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1391</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 Insumos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Volume de derivados de petróleo produzidos nas refinarias do país.</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Consumo_Gasolina</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1393</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Combustíveis</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aparente mensal de gasolina automotiva no país.</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Consumo_Óleo_Combustível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1395</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Combustíveis</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Mil m³</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industrial aparente mensal de óleo combustível.</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Consumo_Energia_Comercial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1402</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mensal de energia elétrica faturado na classe comercial.</w:t>
            </w:r>
          </w:p>
        </w:tc>
      </w:tr>
      <w:tr>
        <w:trPr>
          <w:cantSplit/>
        </w:trPr>
        <w:tc>
          <w:tcPr>
            <w:tcW w:type="dxa" w:w="1728"/>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Consumo_Energia_Residencial</w:t>
            </w:r>
          </w:p>
        </w:tc>
        <w:tc>
          <w:tcPr>
            <w:tcW w:type="dxa" w:w="792"/>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1403</w:t>
            </w:r>
          </w:p>
        </w:tc>
        <w:tc>
          <w:tcPr>
            <w:tcW w:type="dxa" w:w="144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AFAFA"/>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mensal de energia elétrica faturado na classe residencial.</w:t>
            </w:r>
          </w:p>
        </w:tc>
      </w:tr>
      <w:tr>
        <w:trPr>
          <w:cantSplit/>
        </w:trPr>
        <w:tc>
          <w:tcPr>
            <w:tcW w:type="dxa" w:w="1728"/>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Consumo_Energia_Total</w:t>
            </w:r>
          </w:p>
        </w:tc>
        <w:tc>
          <w:tcPr>
            <w:tcW w:type="dxa" w:w="792"/>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1406</w:t>
            </w:r>
          </w:p>
        </w:tc>
        <w:tc>
          <w:tcPr>
            <w:tcW w:type="dxa" w:w="144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Energia Elétrica</w:t>
            </w:r>
          </w:p>
        </w:tc>
        <w:tc>
          <w:tcPr>
            <w:tcW w:type="dxa" w:w="108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GWh</w:t>
            </w:r>
          </w:p>
        </w:tc>
        <w:tc>
          <w:tcPr>
            <w:tcW w:type="dxa" w:w="720"/>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center"/>
            </w:pPr>
            <w:r>
              <w:rPr>
                <w:rFonts w:ascii="Arial" w:hAnsi="Arial"/>
                <w:sz w:val="16"/>
              </w:rPr>
              <w:t>Float</w:t>
            </w:r>
          </w:p>
        </w:tc>
        <w:tc>
          <w:tcPr>
            <w:tcW w:type="dxa" w:w="1296"/>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Atributo Exógeno</w:t>
            </w:r>
          </w:p>
        </w:tc>
        <w:tc>
          <w:tcPr>
            <w:tcW w:type="dxa" w:w="2304"/>
            <w:tcMar>
              <w:top w:w="50" w:type="dxa"/>
              <w:bottom w:w="50" w:type="dxa"/>
              <w:left w:w="60" w:type="dxa"/>
              <w:right w:w="60" w:type="dxa"/>
            </w:tcMar>
            <w:shd w:fill="FFFFFF"/>
            <w:tcBorders>
              <w:top w:val="single" w:sz="4" w:space="0" w:color="E2E8F0"/>
              <w:left w:val="single" w:sz="4" w:space="0" w:color="E2E8F0"/>
              <w:bottom w:val="single" w:sz="4" w:space="0" w:color="E2E8F0"/>
              <w:right w:val="single" w:sz="4" w:space="0" w:color="E2E8F0"/>
            </w:tcBorders>
            <w:vAlign w:val="center"/>
          </w:tcPr>
          <w:p>
            <w:pPr>
              <w:spacing w:before="0" w:after="0" w:line="240" w:lineRule="auto"/>
              <w:jc w:val="left"/>
            </w:pPr>
            <w:r>
              <w:rPr>
                <w:rFonts w:ascii="Arial" w:hAnsi="Arial"/>
                <w:sz w:val="16"/>
              </w:rPr>
              <w:t>Consumo global de energia elétrica de todas as classes consumidoras.</w:t>
            </w:r>
          </w:p>
        </w:tc>
      </w:tr>
    </w:tbl>
    <w:p>
      <w:pPr>
        <w:spacing w:before="60" w:after="240" w:line="276" w:lineRule="auto"/>
        <w:jc w:val="center"/>
      </w:pPr>
      <w:r>
        <w:rPr>
          <w:rFonts w:ascii="Arial" w:hAnsi="Arial"/>
          <w:i/>
          <w:sz w:val="19"/>
        </w:rPr>
        <w:t>Fonte: Autores, com base em dados compilados do SGS/Banco Central do Brasil (2026).</w:t>
      </w:r>
    </w:p>
    <w:p>
      <w:pPr>
        <w:spacing w:before="240" w:after="80" w:line="276" w:lineRule="auto"/>
        <w:jc w:val="left"/>
      </w:pPr>
      <w:r>
        <w:rPr>
          <w:rFonts w:ascii="Arial" w:hAnsi="Arial"/>
          <w:b/>
          <w:sz w:val="24"/>
        </w:rPr>
        <w:t>3.2.1 Delimitação Temporal e Justificativa Metodológica (2012 a 2026)</w:t>
      </w:r>
    </w:p>
    <w:p>
      <w:pPr>
        <w:spacing w:before="40" w:after="120" w:line="276" w:lineRule="auto"/>
        <w:jc w:val="both"/>
      </w:pPr>
      <w:r>
        <w:rPr>
          <w:rFonts w:ascii="Arial" w:hAnsi="Arial"/>
          <w:sz w:val="24"/>
        </w:rPr>
        <w:t>A determinação de março de 2012 como marco inicial para a série temporal do projeto não é arbitrária, decorrendo de uma rigorosa exigência metodológica para salvaguardar a consistência econométrica e evitar quebras estruturais (structural breaks) artificiais nos modelos. Três fatores institucionais e estatísticos fundamentam essa escolha:</w:t>
      </w:r>
    </w:p>
    <w:p>
      <w:pPr>
        <w:spacing w:before="0" w:after="120" w:line="276" w:lineRule="auto"/>
        <w:jc w:val="both"/>
      </w:pPr>
      <w:r>
        <w:rPr>
          <w:rFonts w:ascii="Arial" w:hAnsi="Arial"/>
          <w:sz w:val="24"/>
        </w:rPr>
        <w:t>1. Transição Metodológica na Medição do Desemprego (PME versus PNAD Contínua): Até o início de 2012, a taxa oficial de desemprego no Brasil era aferida pelo IBGE através da Pesquisa Mensal de Emprego (PME). A PME possuía um escopo geográfico restrito a apenas seis regiões metropolitanas (Recife, Salvador, Belo Horizonte, Rio de Janeiro, São Paulo e Porto Alegre) e adotava critérios conceituais mais estritos quanto à busca ativa por ocupação. Em janeiro/março de 2012, o IBGE introduziu a Pesquisa Nacional por Amostra de Domicílios Contínua (PNAD Contínua), estendendo a cobertura para a totalidade do território nacional e alinhando os critérios aos padrões internacionais da Organização Internacional do Trabalho (OIT). Devido à profunda divergência de escopo e metodologia, as séries históricas da PME e da PNAD Contínua não são comparáveis nem passiveis de empilhamento direto. Retroagir a série temporal antes de março de 2012 geraria uma quebra estrutural severa na dinâmica de desocupação, distorcendo o sinal da Curva de Phillips e inserindo ruído espúrio nos algoritmos de aprendizado supervisionado.</w:t>
      </w:r>
    </w:p>
    <w:p>
      <w:pPr>
        <w:spacing w:before="0" w:after="120" w:line="276" w:lineRule="auto"/>
        <w:jc w:val="both"/>
      </w:pPr>
      <w:r>
        <w:rPr>
          <w:rFonts w:ascii="Arial" w:hAnsi="Arial"/>
          <w:sz w:val="24"/>
        </w:rPr>
        <w:t>2. Atualização Estrutural da Cesta de Ponderação do IPCA (POF 2008-2009): Em janeiro de 2012, o IBGE passou a aplicar uma nova estrutura de ponderação na composição do IPCA e do INPC, refletindo os hábitos de consumo mapeados pela Pesquisa de Orçamentos Familiares (POF 2008-2009). Essa revisão metodológica alterou significativamente os pesos relativos de grupos críticos, especialmente Transportes e Alimentação e Bebidas, reorganizando a forma de agregação dos subitens no Sistema Gerenciador de Séries Temporais do Banco Central. Dessa forma, as séries desagregadas a partir de 2012 refletem a dinâmica contemporânea estável da estrutura de consumo das famílias.</w:t>
      </w:r>
    </w:p>
    <w:p>
      <w:pPr>
        <w:spacing w:before="0" w:after="160" w:line="276" w:lineRule="auto"/>
        <w:jc w:val="both"/>
      </w:pPr>
      <w:r>
        <w:rPr>
          <w:rFonts w:ascii="Arial" w:hAnsi="Arial"/>
          <w:sz w:val="24"/>
        </w:rPr>
        <w:t>3. Padronização de Séries Desagregadas do BACEN e Painel Balanceado: Diversos indicadores setoriais fundamentais adotados neste projeto — tais como séries desagregadas de consumo de combustíveis, consumo de energia elétrica por classe e séries compatibilizadas de estoque do emprego formal — iniciaram sua disponibilização regular e contínua no formato moderno do SGS a partir de 2012. Fixar o recorte entre março de 2012 e 2026 permitiu construir um painel de dados perfeitamente balanceado (balanced panel), sem necessidade de imputações artificiais ou interpolações em longos intervalos de dados faltantes estruturais, assegurando a robustez estocástica do pipeline preditivo.</w:t>
      </w:r>
    </w:p>
    <w:p>
      <w:pPr>
        <w:spacing w:before="240" w:after="80" w:line="276" w:lineRule="auto"/>
        <w:jc w:val="left"/>
      </w:pPr>
      <w:r>
        <w:rPr>
          <w:rFonts w:ascii="Arial" w:hAnsi="Arial"/>
          <w:b/>
          <w:sz w:val="24"/>
        </w:rPr>
        <w:t>3.2.2 Variável Alvo e Dinâmica Inflacionária (IPCA)</w:t>
      </w:r>
    </w:p>
    <w:p>
      <w:pPr>
        <w:spacing w:before="40" w:after="120" w:line="276" w:lineRule="auto"/>
        <w:jc w:val="both"/>
      </w:pPr>
      <w:r>
        <w:rPr>
          <w:rFonts w:ascii="Arial" w:hAnsi="Arial"/>
          <w:sz w:val="24"/>
        </w:rPr>
        <w:t>O Índice Nacional de Preços ao Consumidor Amplo (IPCA), mensurado mensalmente pelo Instituto Brasileiro de Geografia e Estatística (IBGE), reflete o padrão de consumo de famílias urbanas com rendimento de 1 a 40 salários mínimos, constituindo a medida oficial para o acompanhamento do regime de metas de inflação do Conselho Monetário Nacional (CMN). No pipeline deste trabalho, o IPCA configura a variável dependente alvo (y_t). A série histórica exibe uma expressiva componente autorregressiva inercial associada a mecanismos de indexação da economia brasileira (como contratos de concessão pública, aluguéis e tarifas), combinada com choques residuais não lineares provocados por desequilíbrios exógenos de oferta e custos.</w:t>
      </w:r>
    </w:p>
    <w:p>
      <w:pPr>
        <w:spacing w:before="240" w:after="80" w:line="276" w:lineRule="auto"/>
        <w:jc w:val="left"/>
      </w:pPr>
      <w:r>
        <w:rPr>
          <w:rFonts w:ascii="Arial" w:hAnsi="Arial"/>
          <w:b/>
          <w:sz w:val="24"/>
        </w:rPr>
        <w:t>3.2.3 Índices de Preços e Desagregações Setoriais</w:t>
      </w:r>
    </w:p>
    <w:p>
      <w:pPr>
        <w:spacing w:before="40" w:after="120" w:line="276" w:lineRule="auto"/>
        <w:jc w:val="both"/>
      </w:pPr>
      <w:r>
        <w:rPr>
          <w:rFonts w:ascii="Arial" w:hAnsi="Arial"/>
          <w:sz w:val="24"/>
        </w:rPr>
        <w:t>As desagregações setoriais do IPCA representam as forças desagregadas que originam a inflação cheia. Em particular, os grupos IPCA Alimentação e Bebidas e IPCA Transportes concentram juntos mais de 40% da ponderação total da cesta de consumo das famílias. O subíndice de alimentação é fortemente vulnerável a intempéries climáticas e flutuações das safras agrícolas, ao passo que o subíndice de transportes reage de imediato aos repasses de preços de combustíveis fósseis e reajustes tarifários urbanos. A incorporação desses subgrupos permite aos regressores de aprendizado de máquina discernir a propagação de choques setoriais específicos antes que eles contaminem os demais componentes da economia.</w:t>
      </w:r>
    </w:p>
    <w:p>
      <w:pPr>
        <w:spacing w:before="0" w:after="120" w:line="276" w:lineRule="auto"/>
        <w:jc w:val="both"/>
      </w:pPr>
      <w:r>
        <w:rPr>
          <w:rFonts w:ascii="Arial" w:hAnsi="Arial"/>
          <w:sz w:val="24"/>
        </w:rPr>
        <w:t>De forma complementar, os índices gerais da Fundação Getulio Vargas (IGP-M e IGP-DI) desempenham papel de indicadores antecedentes (leading indicators). Uma vez que 60% de sua composição repousa no Índice de Preços ao Produtor Amplo (IPA), esses indicadores capturam repasses de custos no estágio atacadista e agrícola com antecedência em relação ao momento em que as pressões atingem o varejo ao consumidor final no IPCA. Paralelamente, o INPC e o IPC-BR fornecem a métrica da inflação incidente sobre as famílias de menor poder aquisitivo (1 a 5 salários mínimos), balizando a elasticidade-renda e a sensibilidade dos itens de primeira necessidade.</w:t>
      </w:r>
    </w:p>
    <w:p>
      <w:pPr>
        <w:spacing w:before="240" w:after="80" w:line="276" w:lineRule="auto"/>
        <w:jc w:val="left"/>
      </w:pPr>
      <w:r>
        <w:rPr>
          <w:rFonts w:ascii="Arial" w:hAnsi="Arial"/>
          <w:b/>
          <w:sz w:val="24"/>
        </w:rPr>
        <w:t>3.2.4 Setor Financeiro, Moeda e Câmbio</w:t>
      </w:r>
    </w:p>
    <w:p>
      <w:pPr>
        <w:spacing w:before="40" w:after="120" w:line="276" w:lineRule="auto"/>
        <w:jc w:val="both"/>
      </w:pPr>
      <w:r>
        <w:rPr>
          <w:rFonts w:ascii="Arial" w:hAnsi="Arial"/>
          <w:sz w:val="24"/>
        </w:rPr>
        <w:t>A taxa de câmbio PTAX (USDBRL) constitui um dos principais determinantes da dinâmica inflacionária por meio do mecanismo de pass-through cambial. Depreciações do Real encarecem prontamente matérias-primas importadas, fertilizantes, defensivos, derivados de trigo e combustíveis, deflagrando pressões de custos que atingem tanto bens comercializáveis quanto preços administrados. Por sua vez, a Taxa Selic atua como o instrumento central de política monetária do Banco Central do Brasil, moderando as pressões de demanda agregada através de quatro canais de transmissão (custo do crédito, propensão à poupança, ancoragem das expectativas e valorização cambial por atratividade de juros), com defasagens observadas entre 6 e 12 meses. O montante de Reservas Internacionais sinaliza a liquidez do país e a capacidade de intervenção do BACEN para mitigar choques externos de volatilidade.</w:t>
      </w:r>
    </w:p>
    <w:p>
      <w:pPr>
        <w:spacing w:before="240" w:after="80" w:line="276" w:lineRule="auto"/>
        <w:jc w:val="left"/>
      </w:pPr>
      <w:r>
        <w:rPr>
          <w:rFonts w:ascii="Arial" w:hAnsi="Arial"/>
          <w:b/>
          <w:sz w:val="24"/>
        </w:rPr>
        <w:t>3.2.5 Atividade Econômica e Mercado de Trabalho</w:t>
      </w:r>
    </w:p>
    <w:p>
      <w:pPr>
        <w:spacing w:before="40" w:after="120" w:line="276" w:lineRule="auto"/>
        <w:jc w:val="both"/>
      </w:pPr>
      <w:r>
        <w:rPr>
          <w:rFonts w:ascii="Arial" w:hAnsi="Arial"/>
          <w:sz w:val="24"/>
        </w:rPr>
        <w:t>O nível de aquecimento da economia real é mensurado pela estimativa do PIB Mensal a preços correntes, fundamental para o cálculo do hiato do produto — elemento orientador da inflação de demanda. No âmbito do mercado de trabalho, a taxa de desocupação da PNAD Contínua e o Salário Mínimo nominal fundamentam a relação teórica da Curva de Phillips na economia brasileira. Condições de pleno emprego e valorizações reais do piso salarial impulsionam a renda disponível e geram pressões de custos no setor de serviços, caracterizado pela reduzida exposição ao comércio exterior e por custos dominados pela folha de pagamento.</w:t>
      </w:r>
    </w:p>
    <w:p>
      <w:pPr>
        <w:spacing w:before="0" w:after="120" w:line="276" w:lineRule="auto"/>
        <w:jc w:val="both"/>
      </w:pPr>
      <w:r>
        <w:rPr>
          <w:rFonts w:ascii="Arial" w:hAnsi="Arial"/>
          <w:sz w:val="24"/>
        </w:rPr>
        <w:t>O estoque de postos celetistas do Cadastro Geral de Empregados e Desempregados (CAGED), tanto no agregado total quanto nos recortes da Agropecuária e Construção Civil, mensura o grau de estabilidade contratual das famílias e o potencial de demanda futura por crédito consignado e imobiliário. Por fim, a série de Produção de Ovos (QteOvos) representa uma proxy física contínua da atividade agroindustrial avícola, indicando condições de oferta de proteína animal e custos de insumos na cadeia de nutrição doméstica.</w:t>
      </w:r>
    </w:p>
    <w:p>
      <w:pPr>
        <w:spacing w:before="240" w:after="80" w:line="276" w:lineRule="auto"/>
        <w:jc w:val="left"/>
      </w:pPr>
      <w:r>
        <w:rPr>
          <w:rFonts w:ascii="Arial" w:hAnsi="Arial"/>
          <w:b/>
          <w:sz w:val="24"/>
        </w:rPr>
        <w:t>3.2.6 Energia e Combustíveis</w:t>
      </w:r>
    </w:p>
    <w:p>
      <w:pPr>
        <w:spacing w:before="40" w:after="120" w:line="276" w:lineRule="auto"/>
        <w:jc w:val="both"/>
      </w:pPr>
      <w:r>
        <w:rPr>
          <w:rFonts w:ascii="Arial" w:hAnsi="Arial"/>
          <w:sz w:val="24"/>
        </w:rPr>
        <w:t>Considerando a matriz logística nacional intensiva em transporte rodoviário, as variáveis de refino e consumo de derivados de petróleo (Consumo de Gasolina, Consumo de Óleo Combustível e Produção de Derivados) funcionam como termômetros do transporte de cargas e insumos produtivos, cujas oscilações de preço se difundem horizontalmente na economia. Ademais, as métricas físicas de consumo elétrico (Consumo Comercial, Residencial e Total) operam como sensores de alta frequência do nível de ocupação comercial e residencial sem a distorção nominal decorrente de reajustes tarifários.</w:t>
      </w:r>
    </w:p>
    <w:p>
      <w:pPr>
        <w:spacing w:before="240" w:after="80" w:line="276" w:lineRule="auto"/>
        <w:jc w:val="left"/>
      </w:pPr>
      <w:r>
        <w:rPr>
          <w:rFonts w:ascii="Arial" w:hAnsi="Arial"/>
          <w:b/>
          <w:sz w:val="24"/>
        </w:rPr>
        <w:t>3.2.7 Pré-processamento, Alinhamento Temporal e Teste de Estacionariedade</w:t>
      </w:r>
    </w:p>
    <w:p>
      <w:pPr>
        <w:spacing w:before="40" w:after="120" w:line="276" w:lineRule="auto"/>
        <w:jc w:val="both"/>
      </w:pPr>
      <w:r>
        <w:rPr>
          <w:rFonts w:ascii="Arial" w:hAnsi="Arial"/>
          <w:sz w:val="24"/>
        </w:rPr>
        <w:t>Para salvaguardar a robustez metodológica dos experimentos e mitigar viés de antecipação (lookahead bias) ou vazamento de informações (data leakage), todas as variáveis foram devidamente sincronizadas de acordo com as respectivas datas de divulgação formal das séries. Nas variáveis cuja cotação original ocorria em frequência diária (taxa Selic e taxa de câmbio), realizou-se a agregação pela média aritmética mensal dos dias úteis.</w:t>
      </w:r>
    </w:p>
    <w:p>
      <w:pPr>
        <w:spacing w:before="0" w:after="240" w:line="276" w:lineRule="auto"/>
        <w:jc w:val="both"/>
      </w:pPr>
      <w:r>
        <w:rPr>
          <w:rFonts w:ascii="Arial" w:hAnsi="Arial"/>
          <w:sz w:val="24"/>
        </w:rPr>
        <w:t>Para adequação às premissas dos modelos estocásticos lineares (ARIMA e ARIMAX) e aos algoritmos híbridos de aprendizado de máquina, cada série temporal foi submetida ao teste estatístico de raiz unitária Augmented Dickey-Fuller (ADF) sob nível de significância de alfa = 0,05. As séries com comportamento não estacionário em nível foram submetidas à primeira diferenciação sucessiva (Delta X_t = X_t - X_{t-1}), assegurando propriedades estocásticas de média e variância constantes durante o treinamento sequencial walk-forward.</w:t>
      </w:r>
    </w:p>
    <w:p>
      <w:pPr>
        <w:keepNext/>
        <w:spacing w:before="280" w:after="120"/>
      </w:pPr>
      <w:r>
        <w:rPr>
          <w:b/>
          <w:sz w:val="26"/>
        </w:rPr>
        <w:t>Referências Bibliográficas</w:t>
      </w:r>
    </w:p>
    <w:p>
      <w:pPr>
        <w:spacing w:before="40" w:after="80" w:line="276" w:lineRule="auto"/>
        <w:ind w:left="454" w:hanging="454"/>
        <w:jc w:val="both"/>
      </w:pPr>
      <w:r>
        <w:rPr>
          <w:b/>
          <w:sz w:val="22"/>
        </w:rPr>
        <w:t xml:space="preserve">[1] </w:t>
      </w:r>
      <w:r>
        <w:rPr>
          <w:sz w:val="22"/>
        </w:rPr>
        <w:t>N. G. Mankiw, Princípios de Macroeconomia, 9th ed. São Paulo: Cengage Learning, 2021.</w:t>
      </w:r>
    </w:p>
    <w:p>
      <w:pPr>
        <w:spacing w:before="40" w:after="80" w:line="276" w:lineRule="auto"/>
        <w:ind w:left="454" w:hanging="454"/>
        <w:jc w:val="both"/>
      </w:pPr>
      <w:r>
        <w:rPr>
          <w:b/>
          <w:sz w:val="22"/>
        </w:rPr>
        <w:t xml:space="preserve">[2] </w:t>
      </w:r>
      <w:r>
        <w:rPr>
          <w:sz w:val="22"/>
        </w:rPr>
        <w:t>K. Miałkowska, B. Nosarzewski, and R. Kustra, "Feature Selection for financial data – comparison," Procedia Computer Science, vol. 207, pp. 130–139, 2022.</w:t>
      </w:r>
    </w:p>
    <w:p>
      <w:pPr>
        <w:spacing w:before="40" w:after="80" w:line="276" w:lineRule="auto"/>
        <w:ind w:left="454" w:hanging="454"/>
        <w:jc w:val="both"/>
      </w:pPr>
      <w:r>
        <w:rPr>
          <w:b/>
          <w:sz w:val="22"/>
        </w:rPr>
        <w:t xml:space="preserve">[3] </w:t>
      </w:r>
      <w:r>
        <w:rPr>
          <w:sz w:val="22"/>
        </w:rPr>
        <w:t>G. P. Zhang, "Time series forecasting using a hybrid ARIMA and neural network model," Neurocomputing, vol. 50, pp. 159–175, Jan. 2003.</w:t>
      </w:r>
    </w:p>
    <w:p>
      <w:pPr>
        <w:spacing w:before="40" w:after="80" w:line="276" w:lineRule="auto"/>
        <w:ind w:left="454" w:hanging="454"/>
        <w:jc w:val="both"/>
      </w:pPr>
      <w:r>
        <w:rPr>
          <w:b/>
          <w:sz w:val="22"/>
        </w:rPr>
        <w:t xml:space="preserve">[4] </w:t>
      </w:r>
      <w:r>
        <w:rPr>
          <w:sz w:val="22"/>
        </w:rPr>
        <w:t>O. Blanchard, Macroeconomics, 8th ed. Pearson, 2021.</w:t>
      </w:r>
    </w:p>
    <w:p>
      <w:pPr>
        <w:spacing w:before="40" w:after="80" w:line="276" w:lineRule="auto"/>
        <w:ind w:left="454" w:hanging="454"/>
        <w:jc w:val="both"/>
      </w:pPr>
      <w:r>
        <w:rPr>
          <w:b/>
          <w:sz w:val="22"/>
        </w:rPr>
        <w:t xml:space="preserve">[5] </w:t>
      </w:r>
      <w:r>
        <w:rPr>
          <w:sz w:val="22"/>
        </w:rPr>
        <w:t>A. W. Phillips, "The Relation between Unemployment and the Rate of Change of Money Wage Rates in the United Kingdom, 1861–1957," Economica, vol. 25, no. 100, pp. 283–299, 1958.</w:t>
      </w:r>
    </w:p>
    <w:p>
      <w:pPr>
        <w:spacing w:before="40" w:after="80" w:line="276" w:lineRule="auto"/>
        <w:ind w:left="454" w:hanging="454"/>
        <w:jc w:val="both"/>
      </w:pPr>
      <w:r>
        <w:rPr>
          <w:b/>
          <w:sz w:val="22"/>
        </w:rPr>
        <w:t xml:space="preserve">[6] </w:t>
      </w:r>
      <w:r>
        <w:rPr>
          <w:sz w:val="22"/>
        </w:rPr>
        <w:t>J. H. Stock and M. W. Watson, "Why Has U.S. Inflation Become Harder to Forecast?," Journal of Money, Credit and Banking, vol. 39, no. s1, pp. 3–33, 2007.</w:t>
      </w:r>
    </w:p>
    <w:p>
      <w:pPr>
        <w:spacing w:before="40" w:after="80" w:line="276" w:lineRule="auto"/>
        <w:ind w:left="454" w:hanging="454"/>
        <w:jc w:val="both"/>
      </w:pPr>
      <w:r>
        <w:rPr>
          <w:b/>
          <w:sz w:val="22"/>
        </w:rPr>
        <w:t xml:space="preserve">[7] </w:t>
      </w:r>
      <w:r>
        <w:rPr>
          <w:sz w:val="22"/>
        </w:rPr>
        <w:t>M. Friedman, "The Role of Monetary Policy," The American Economic Review, vol. 58, no. 1, pp. 1–17, 1968.</w:t>
      </w:r>
    </w:p>
    <w:p>
      <w:pPr>
        <w:spacing w:before="40" w:after="80" w:line="276" w:lineRule="auto"/>
        <w:ind w:left="454" w:hanging="454"/>
        <w:jc w:val="both"/>
      </w:pPr>
      <w:r>
        <w:rPr>
          <w:b/>
          <w:sz w:val="22"/>
        </w:rPr>
        <w:t xml:space="preserve">[8] </w:t>
      </w:r>
      <w:r>
        <w:rPr>
          <w:sz w:val="22"/>
        </w:rPr>
        <w:t>W. Fan et al., "Feature Selection for Time Series Modeling," arXiv / ResearchGate, 2022.</w:t>
      </w:r>
    </w:p>
    <w:p>
      <w:pPr>
        <w:spacing w:before="40" w:after="80" w:line="276" w:lineRule="auto"/>
        <w:ind w:left="454" w:hanging="454"/>
        <w:jc w:val="both"/>
      </w:pPr>
      <w:r>
        <w:rPr>
          <w:b/>
          <w:sz w:val="22"/>
        </w:rPr>
        <w:t xml:space="preserve">[9] </w:t>
      </w:r>
      <w:r>
        <w:rPr>
          <w:sz w:val="22"/>
        </w:rPr>
        <w:t>I. Al-Dmour et al., "Bio-inspired algorithms for feature selection: A comprehensive survey," Applied Soft Computing, 2023.</w:t>
      </w:r>
    </w:p>
    <w:p>
      <w:pPr>
        <w:spacing w:before="40" w:after="80" w:line="276" w:lineRule="auto"/>
        <w:ind w:left="454" w:hanging="454"/>
        <w:jc w:val="both"/>
      </w:pPr>
      <w:r>
        <w:rPr>
          <w:b/>
          <w:sz w:val="22"/>
        </w:rPr>
        <w:t xml:space="preserve">[10] </w:t>
      </w:r>
      <w:r>
        <w:rPr>
          <w:sz w:val="22"/>
        </w:rPr>
        <w:t>O. Oladele, "Hybrid Models Combining Time Series Analysis and Machine Learning for Market Forecasting," International Journal of Financial Studies, 2023.</w:t>
      </w:r>
    </w:p>
    <w:p>
      <w:pPr>
        <w:spacing w:before="40" w:after="80" w:line="276" w:lineRule="auto"/>
        <w:ind w:left="454" w:hanging="454"/>
        <w:jc w:val="both"/>
      </w:pPr>
      <w:r>
        <w:rPr>
          <w:b/>
          <w:sz w:val="22"/>
        </w:rPr>
        <w:t xml:space="preserve">[11] </w:t>
      </w:r>
      <w:r>
        <w:rPr>
          <w:sz w:val="22"/>
        </w:rPr>
        <w:t>S. F. Khashei et al., "Which Methodology is Better for Combining Linear and Nonlinear Models for Time Series Forecasting?," Communications in Statistics - Simulation and Computation, 2022.</w:t>
      </w:r>
    </w:p>
    <w:p>
      <w:pPr>
        <w:spacing w:before="40" w:after="80" w:line="276" w:lineRule="auto"/>
        <w:ind w:left="454" w:hanging="454"/>
        <w:jc w:val="both"/>
      </w:pPr>
      <w:r>
        <w:rPr>
          <w:b/>
          <w:sz w:val="22"/>
        </w:rPr>
        <w:t xml:space="preserve">[12] </w:t>
      </w:r>
      <w:r>
        <w:rPr>
          <w:sz w:val="22"/>
        </w:rPr>
        <w:t>C. A. Brandão et al., "Benchmarking Biologically-Inspired Automatic Machine Learning for Economic Tasks," Expert Systems with Applications,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