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CD3A14" w:rsidRDefault="00CD3A14">
      <w:pPr>
        <w:pStyle w:val="Ttulo1"/>
        <w:spacing w:before="0" w:after="120"/>
        <w:ind w:right="0"/>
      </w:pPr>
      <w:r>
        <w:rPr>
          <w:rFonts w:ascii="Verdana" w:hAnsi="Verdana"/>
          <w:b/>
          <w:color w:val="002060"/>
          <w:sz w:val="32"/>
        </w:rPr>
        <w:t>Mineração de Séries Temporais para Previsão da Inflação: Arquitetura Híbrida Multivariada e Otimização Bioinspirada de Atributos</w:t>
      </w:r>
    </w:p>
    <w:p w:rsidR="00CD3A14" w:rsidRDefault="00CD3A14">
      <w:pPr>
        <w:pStyle w:val="LO-normal"/>
      </w:pPr>
    </w:p>
    <w:p w:rsidR="00CD3A14" w:rsidRDefault="00CD3A14">
      <w:pPr>
        <w:pStyle w:val="LO-normal"/>
        <w:spacing w:before="0" w:after="240"/>
        <w:rPr>
          <w:color w:val="002060"/>
          <w:lang w:val="en-US"/>
        </w:rPr>
      </w:pPr>
      <w:r>
        <w:rPr>
          <w:rFonts w:ascii="Verdana" w:hAnsi="Verdana"/>
          <w:i/>
          <w:color w:val="002060"/>
          <w:sz w:val="22"/>
        </w:rPr>
        <w:t>Time Series Mining for Inflation Forecasting: Multivariate Hybrid Architecture and Bio-Inspired Feature Optimization</w:t>
      </w:r>
    </w:p>
    <w:p w:rsidR="00CD3A14" w:rsidRDefault="00CD3A14">
      <w:pPr>
        <w:pStyle w:val="LO-normal"/>
        <w:rPr>
          <w:i/>
          <w:iCs/>
          <w:lang w:val="en-US"/>
        </w:rPr>
      </w:pPr>
    </w:p>
    <w:p w:rsidR="00CD3A14" w:rsidRDefault="001C5811">
      <w:pPr>
        <w:pStyle w:val="LO-normal"/>
        <w:rPr>
          <w:i/>
          <w:iCs/>
          <w:lang w:val="en-US"/>
        </w:rPr>
      </w:pPr>
      <w:r>
        <w:rPr>
          <w:noProof/>
        </w:rPr>
        <mc:AlternateContent>
          <mc:Choice Requires="wps">
            <w:drawing>
              <wp:inline distT="0" distB="0" distL="0" distR="0" wp14:anchorId="433CFE9E" wp14:editId="1600CA8B">
                <wp:extent cx="2098040" cy="431165"/>
                <wp:effectExtent l="0" t="0" r="16510" b="26035"/>
                <wp:docPr id="1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43116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C5811" w:rsidRDefault="001C5811" w:rsidP="001C5811">
                            <w:pPr>
                              <w:pStyle w:val="LO-normal"/>
                              <w:ind w:rightChars="40" w:right="80"/>
                              <w:jc w:val="both"/>
                              <w:rPr>
                                <w:b/>
                                <w:sz w:val="14"/>
                                <w:szCs w:val="14"/>
                                <w:vertAlign w:val="superscript"/>
                              </w:rPr>
                            </w:pPr>
                            <w:r>
                              <w:rPr>
                                <w:b/>
                              </w:rPr>
                              <w:t xml:space="preserve">Bruno Protásio¹</w:t>
                            </w:r>
                          </w:p>
                          <w:p w:rsidR="001C5811" w:rsidRDefault="001C5811" w:rsidP="001C5811">
                            <w:pPr>
                              <w:pStyle w:val="LO-normal"/>
                              <w:ind w:rightChars="40" w:right="80"/>
                              <w:jc w:val="distribute"/>
                              <w:rPr>
                                <w:color w:val="212121"/>
                                <w:sz w:val="14"/>
                                <w:szCs w:val="14"/>
                              </w:rPr>
                            </w:pPr>
                            <w:r>
                              <w:rPr>
                                <w:noProof/>
                                <w:position w:val="-2"/>
                              </w:rPr>
                              <w:drawing>
                                <wp:inline distT="0" distB="0" distL="0" distR="0" wp14:anchorId="7D2BCFB1" wp14:editId="14CBACC5">
                                  <wp:extent cx="152400" cy="152400"/>
                                  <wp:effectExtent l="0" t="0" r="0" b="0"/>
                                  <wp:docPr id="10"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t xml:space="preserve">orcid.org/xxxx-xxxx-xxxx-xxxx</w:t>
                            </w:r>
                            <w:hyperlink r:id="rId8" w:history="1">
                              <w:r>
                                <w:rPr>
                                  <w:rStyle w:val="Hyperlink"/>
                                  <w:b/>
                                  <w:color w:val="009999"/>
                                  <w:sz w:val="14"/>
                                  <w:szCs w:val="14"/>
                                  <w:u w:val="none"/>
                                </w:rPr>
                                <w:t>orcid.org/0000-0001-5727-2427</w:t>
                              </w:r>
                              <w:r>
                                <w:rPr>
                                  <w:rStyle w:val="Hyperlink"/>
                                  <w:b/>
                                  <w:color w:val="009999"/>
                                  <w:sz w:val="14"/>
                                  <w:szCs w:val="14"/>
                                  <w:vertAlign w:val="subscript"/>
                                </w:rPr>
                                <w:t xml:space="preserve"> </w:t>
                              </w:r>
                            </w:hyperlink>
                          </w:p>
                          <w:p w:rsidR="001C5811" w:rsidRDefault="001C5811" w:rsidP="001C5811">
                            <w:pPr>
                              <w:pStyle w:val="LO-normal"/>
                              <w:ind w:rightChars="40" w:right="80"/>
                              <w:jc w:val="both"/>
                              <w:rPr>
                                <w:color w:val="212121"/>
                                <w:sz w:val="14"/>
                                <w:szCs w:val="14"/>
                              </w:rPr>
                            </w:pPr>
                          </w:p>
                          <w:p w:rsidR="001C5811" w:rsidRDefault="001C5811" w:rsidP="001C5811">
                            <w:pPr>
                              <w:pStyle w:val="LO-normal"/>
                              <w:ind w:rightChars="40" w:right="80"/>
                              <w:jc w:val="both"/>
                              <w:rPr>
                                <w:color w:val="212121"/>
                                <w:sz w:val="14"/>
                                <w:szCs w:val="14"/>
                              </w:rPr>
                            </w:pPr>
                          </w:p>
                          <w:p w:rsidR="001C5811" w:rsidRDefault="001C5811" w:rsidP="001C5811">
                            <w:pPr>
                              <w:pStyle w:val="LO-normal"/>
                              <w:ind w:rightChars="40" w:right="80"/>
                              <w:jc w:val="both"/>
                              <w:rPr>
                                <w:color w:val="212121"/>
                                <w:sz w:val="14"/>
                                <w:szCs w:val="14"/>
                              </w:rPr>
                            </w:pPr>
                          </w:p>
                        </w:txbxContent>
                      </wps:txbx>
                      <wps:bodyPr rot="0" vert="horz" wrap="square" lIns="91440" tIns="45720" rIns="91440" bIns="45720" anchor="t" anchorCtr="0" upright="1">
                        <a:noAutofit/>
                      </wps:bodyPr>
                    </wps:wsp>
                  </a:graphicData>
                </a:graphic>
              </wp:inline>
            </w:drawing>
          </mc:Choice>
          <mc:Fallback>
            <w:pict>
              <v:shapetype w14:anchorId="433CFE9E" id="_x0000_t202" coordsize="21600,21600" o:spt="202" path="m,l,21600r21600,l21600,xe">
                <v:stroke joinstyle="miter"/>
                <v:path gradientshapeok="t" o:connecttype="rect"/>
              </v:shapetype>
              <v:shape id="Caixa de texto 7" o:spid="_x0000_s1026" type="#_x0000_t202" style="width:165.2pt;height:3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" filled="f" strokecolor="white">
                <v:textbox>
                  <w:txbxContent>
                    <w:p w:rsidR="001C5811" w:rsidRDefault="001C5811" w:rsidP="001C5811">
                      <w:pPr>
                        <w:pStyle w:val="LO-normal"/>
                        <w:ind w:rightChars="40" w:right="80"/>
                        <w:jc w:val="both"/>
                        <w:rPr>
                          <w:b/>
                          <w:sz w:val="14"/>
                          <w:szCs w:val="14"/>
                          <w:vertAlign w:val="superscript"/>
                        </w:rPr>
                      </w:pPr>
                      <w:r>
                        <w:rPr>
                          <w:b/>
                        </w:rPr>
                        <w:t xml:space="preserve">Bruno Protásio¹</w:t>
                      </w:r>
                    </w:p>
                    <w:p w:rsidR="001C5811" w:rsidRDefault="001C5811" w:rsidP="001C5811">
                      <w:pPr>
                        <w:pStyle w:val="LO-normal"/>
                        <w:ind w:rightChars="40" w:right="80"/>
                        <w:jc w:val="distribute"/>
                        <w:rPr>
                          <w:color w:val="212121"/>
                          <w:sz w:val="14"/>
                          <w:szCs w:val="14"/>
                        </w:rPr>
                      </w:pPr>
                      <w:r>
                        <w:rPr>
                          <w:noProof/>
                          <w:position w:val="-2"/>
                        </w:rPr>
                        <w:drawing>
                          <wp:inline distT="0" distB="0" distL="0" distR="0" wp14:anchorId="7D2BCFB1" wp14:editId="14CBACC5">
                            <wp:extent cx="152400" cy="152400"/>
                            <wp:effectExtent l="0" t="0" r="0" b="0"/>
                            <wp:docPr id="10"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t xml:space="preserve">orcid.org/xxxx-xxxx-xxxx-xxxx</w:t>
                      </w:r>
                      <w:hyperlink r:id="rId9" w:history="1">
                        <w:r>
                          <w:rPr>
                            <w:rStyle w:val="Hyperlink"/>
                            <w:b/>
                            <w:color w:val="009999"/>
                            <w:sz w:val="14"/>
                            <w:szCs w:val="14"/>
                            <w:u w:val="none"/>
                          </w:rPr>
                          <w:t>orcid.org/0000-0001-5727-2427</w:t>
                        </w:r>
                        <w:r>
                          <w:rPr>
                            <w:rStyle w:val="Hyperlink"/>
                            <w:b/>
                            <w:color w:val="009999"/>
                            <w:sz w:val="14"/>
                            <w:szCs w:val="14"/>
                            <w:vertAlign w:val="subscript"/>
                          </w:rPr>
                          <w:t xml:space="preserve"> </w:t>
                        </w:r>
                      </w:hyperlink>
                    </w:p>
                    <w:p w:rsidR="001C5811" w:rsidRDefault="001C5811" w:rsidP="001C5811">
                      <w:pPr>
                        <w:pStyle w:val="LO-normal"/>
                        <w:ind w:rightChars="40" w:right="80"/>
                        <w:jc w:val="both"/>
                        <w:rPr>
                          <w:color w:val="212121"/>
                          <w:sz w:val="14"/>
                          <w:szCs w:val="14"/>
                        </w:rPr>
                      </w:pPr>
                    </w:p>
                    <w:p w:rsidR="001C5811" w:rsidRDefault="001C5811" w:rsidP="001C5811">
                      <w:pPr>
                        <w:pStyle w:val="LO-normal"/>
                        <w:ind w:rightChars="40" w:right="80"/>
                        <w:jc w:val="both"/>
                        <w:rPr>
                          <w:color w:val="212121"/>
                          <w:sz w:val="14"/>
                          <w:szCs w:val="14"/>
                        </w:rPr>
                      </w:pPr>
                    </w:p>
                    <w:p w:rsidR="001C5811" w:rsidRDefault="001C5811" w:rsidP="001C5811">
                      <w:pPr>
                        <w:pStyle w:val="LO-normal"/>
                        <w:ind w:rightChars="40" w:right="80"/>
                        <w:jc w:val="both"/>
                        <w:rPr>
                          <w:color w:val="212121"/>
                          <w:sz w:val="14"/>
                          <w:szCs w:val="14"/>
                        </w:rPr>
                      </w:pPr>
                    </w:p>
                  </w:txbxContent>
                </v:textbox>
                <w10:anchorlock/>
              </v:shape>
            </w:pict>
          </mc:Fallback>
        </mc:AlternateContent>
      </w:r>
      <w:r>
        <w:rPr>
          <w:noProof/>
        </w:rPr>
        <mc:AlternateContent>
          <mc:Choice Requires="wps">
            <w:drawing>
              <wp:inline distT="0" distB="0" distL="0" distR="0" wp14:anchorId="0B745F84" wp14:editId="0A80F059">
                <wp:extent cx="2046605" cy="419735"/>
                <wp:effectExtent l="0" t="0" r="10795" b="18415"/>
                <wp:docPr id="1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6605" cy="419735"/>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C5811" w:rsidRDefault="001C5811" w:rsidP="001C5811">
                            <w:pPr>
                              <w:pStyle w:val="LO-normal"/>
                              <w:ind w:rightChars="40" w:right="80"/>
                              <w:jc w:val="both"/>
                              <w:rPr>
                                <w:b/>
                                <w:color w:val="212121"/>
                                <w:sz w:val="14"/>
                                <w:szCs w:val="14"/>
                              </w:rPr>
                            </w:pPr>
                            <w:r>
                              <w:rPr>
                                <w:b/>
                              </w:rPr>
                              <w:t xml:space="preserve">Daniel Meneses¹ &amp; Marcus Vinicius¹</w:t>
                            </w:r>
                          </w:p>
                          <w:p w:rsidR="001C5811" w:rsidRPr="000210A0" w:rsidRDefault="001C5811" w:rsidP="001C5811">
                            <w:pPr>
                              <w:pStyle w:val="LO-normal"/>
                              <w:ind w:rightChars="40" w:right="80"/>
                              <w:jc w:val="both"/>
                              <w:rPr>
                                <w:color w:val="212121"/>
                                <w:sz w:val="14"/>
                                <w:szCs w:val="14"/>
                              </w:rPr>
                            </w:pPr>
                            <w:r w:rsidRPr="000210A0">
                              <w:rPr>
                                <w:rStyle w:val="Hyperlink"/>
                                <w:b/>
                                <w:noProof/>
                                <w:color w:val="494A4C"/>
                                <w:sz w:val="14"/>
                                <w:szCs w:val="14"/>
                                <w:u w:val="none"/>
                                <w:lang w:val="pt-BR" w:eastAsia="pt-BR" w:bidi="ar-SA"/>
                              </w:rPr>
                              <w:drawing>
                                <wp:inline distT="0" distB="0" distL="0" distR="0" wp14:anchorId="79008169" wp14:editId="237196CE">
                                  <wp:extent cx="152400" cy="152400"/>
                                  <wp:effectExtent l="0" t="0" r="0" b="0"/>
                                  <wp:docPr id="11"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t xml:space="preserve">orcid.org/xxxx-xxxx-xxxx-xxxx</w:t>
                            </w:r>
                            <w:hyperlink r:id="rId10" w:history="1">
                              <w:r w:rsidRPr="000210A0">
                                <w:rPr>
                                  <w:rStyle w:val="Hyperlink"/>
                                  <w:b/>
                                  <w:color w:val="009999"/>
                                  <w:sz w:val="14"/>
                                  <w:szCs w:val="14"/>
                                  <w:u w:val="none"/>
                                </w:rPr>
                                <w:t xml:space="preserve">orcid.org/0000-0001-5727-2427 </w:t>
                              </w:r>
                            </w:hyperlink>
                          </w:p>
                          <w:p w:rsidR="001C5811" w:rsidRDefault="001C5811" w:rsidP="001C5811"/>
                        </w:txbxContent>
                      </wps:txbx>
                      <wps:bodyPr rot="0" vert="horz" wrap="square" lIns="91440" tIns="45720" rIns="91440" bIns="45720" anchor="t" anchorCtr="0" upright="1">
                        <a:noAutofit/>
                      </wps:bodyPr>
                    </wps:wsp>
                  </a:graphicData>
                </a:graphic>
              </wp:inline>
            </w:drawing>
          </mc:Choice>
          <mc:Fallback>
            <w:pict>
              <v:shape w14:anchorId="0B745F84" id="Caixa de texto 8" o:spid="_x0000_s1027" type="#_x0000_t202" style="width:161.15pt;height:3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" strokecolor="white">
                <v:textbox>
                  <w:txbxContent>
                    <w:p w:rsidR="001C5811" w:rsidRDefault="001C5811" w:rsidP="001C5811">
                      <w:pPr>
                        <w:pStyle w:val="LO-normal"/>
                        <w:ind w:rightChars="40" w:right="80"/>
                        <w:jc w:val="both"/>
                        <w:rPr>
                          <w:b/>
                          <w:color w:val="212121"/>
                          <w:sz w:val="14"/>
                          <w:szCs w:val="14"/>
                        </w:rPr>
                      </w:pPr>
                      <w:r>
                        <w:rPr>
                          <w:b/>
                        </w:rPr>
                        <w:t xml:space="preserve">Daniel Meneses¹ &amp; Marcus Vinicius¹</w:t>
                      </w:r>
                    </w:p>
                    <w:p w:rsidR="001C5811" w:rsidRPr="000210A0" w:rsidRDefault="001C5811" w:rsidP="001C5811">
                      <w:pPr>
                        <w:pStyle w:val="LO-normal"/>
                        <w:ind w:rightChars="40" w:right="80"/>
                        <w:jc w:val="both"/>
                        <w:rPr>
                          <w:color w:val="212121"/>
                          <w:sz w:val="14"/>
                          <w:szCs w:val="14"/>
                        </w:rPr>
                      </w:pPr>
                      <w:r w:rsidRPr="000210A0">
                        <w:rPr>
                          <w:rStyle w:val="Hyperlink"/>
                          <w:b/>
                          <w:noProof/>
                          <w:color w:val="494A4C"/>
                          <w:sz w:val="14"/>
                          <w:szCs w:val="14"/>
                          <w:u w:val="none"/>
                          <w:lang w:val="pt-BR" w:eastAsia="pt-BR" w:bidi="ar-SA"/>
                        </w:rPr>
                        <w:drawing>
                          <wp:inline distT="0" distB="0" distL="0" distR="0" wp14:anchorId="79008169" wp14:editId="237196CE">
                            <wp:extent cx="152400" cy="152400"/>
                            <wp:effectExtent l="0" t="0" r="0" b="0"/>
                            <wp:docPr id="11"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t xml:space="preserve">orcid.org/xxxx-xxxx-xxxx-xxxx</w:t>
                      </w:r>
                      <w:hyperlink r:id="rId11" w:history="1">
                        <w:r w:rsidRPr="000210A0">
                          <w:rPr>
                            <w:rStyle w:val="Hyperlink"/>
                            <w:b/>
                            <w:color w:val="009999"/>
                            <w:sz w:val="14"/>
                            <w:szCs w:val="14"/>
                            <w:u w:val="none"/>
                          </w:rPr>
                          <w:t xml:space="preserve">orcid.org/0000-0001-5727-2427 </w:t>
                        </w:r>
                      </w:hyperlink>
                    </w:p>
                    <w:p w:rsidR="001C5811" w:rsidRDefault="001C5811" w:rsidP="001C5811"/>
                  </w:txbxContent>
                </v:textbox>
                <w10:anchorlock/>
              </v:shape>
            </w:pict>
          </mc:Fallback>
        </mc:AlternateContent>
      </w:r>
      <w:r w:rsidR="002E6133">
        <w:rPr>
          <w:noProof/>
        </w:rPr>
        <mc:AlternateContent>
          <mc:Choice Requires="wps">
            <w:drawing>
              <wp:inline distT="0" distB="0" distL="0" distR="0" wp14:anchorId="08B0AA0F" wp14:editId="7C78B539">
                <wp:extent cx="2047240" cy="419100"/>
                <wp:effectExtent l="0" t="0" r="10160" b="19050"/>
                <wp:docPr id="1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41910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D3A14" w:rsidRDefault="00CD3A14">
                            <w:pPr>
                              <w:pStyle w:val="LO-normal"/>
                              <w:ind w:rightChars="40" w:right="80"/>
                              <w:jc w:val="both"/>
                              <w:rPr>
                                <w:vertAlign w:val="superscript"/>
                              </w:rPr>
                            </w:pPr>
                            <w:proofErr w:type="spellStart"/>
                            <w:r>
                              <w:rPr>
                                <w:b/>
                                <w:bCs/>
                              </w:rPr>
                              <w:t xml:space="preserve">Vinicyus Emanuel¹</w:t>
                            </w:r>
                            <w:proofErr w:type="spellEnd"/>
                          </w:p>
                          <w:p w:rsidR="00CD3A14" w:rsidRDefault="002E6133">
                            <w:pPr>
                              <w:pStyle w:val="LO-normal"/>
                              <w:ind w:rightChars="40" w:right="80"/>
                              <w:jc w:val="both"/>
                            </w:pPr>
                            <w:r>
                              <w:rPr>
                                <w:noProof/>
                                <w:position w:val="-2"/>
                              </w:rPr>
                              <w:drawing>
                                <wp:inline distT="0" distB="0" distL="0" distR="0" wp14:anchorId="41DCECB1" wp14:editId="53710F2D">
                                  <wp:extent cx="152400" cy="152400"/>
                                  <wp:effectExtent l="0" t="0" r="0" b="0"/>
                                  <wp:docPr id="1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t xml:space="preserve">orcid.org/xxxx-xxxx-xxxx-xxxx</w:t>
                            </w:r>
                          </w:p>
                          <w:p w:rsidR="00CD3A14" w:rsidRDefault="00CD3A14"/>
                        </w:txbxContent>
                      </wps:txbx>
                      <wps:bodyPr rot="0" vert="horz" wrap="square" lIns="91440" tIns="45720" rIns="91440" bIns="45720" anchor="t" anchorCtr="0" upright="1">
                        <a:noAutofit/>
                      </wps:bodyPr>
                    </wps:wsp>
                  </a:graphicData>
                </a:graphic>
              </wp:inline>
            </w:drawing>
          </mc:Choice>
          <mc:Fallback>
            <w:pict>
              <v:shape w14:anchorId="08B0AA0F" id="Caixa de texto 9" o:spid="_x0000_s1028" type="#_x0000_t202" style="width:161.2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" strokecolor="white">
                <v:textbox>
                  <w:txbxContent>
                    <w:p w:rsidR="00CD3A14" w:rsidRDefault="00CD3A14">
                      <w:pPr>
                        <w:pStyle w:val="LO-normal"/>
                        <w:ind w:rightChars="40" w:right="80"/>
                        <w:jc w:val="both"/>
                        <w:rPr>
                          <w:vertAlign w:val="superscript"/>
                        </w:rPr>
                      </w:pPr>
                      <w:proofErr w:type="spellStart"/>
                      <w:r>
                        <w:rPr>
                          <w:b/>
                          <w:bCs/>
                        </w:rPr>
                        <w:t xml:space="preserve">Vinicyus Emanuel¹</w:t>
                      </w:r>
                      <w:proofErr w:type="spellEnd"/>
                    </w:p>
                    <w:p w:rsidR="00CD3A14" w:rsidRDefault="002E6133">
                      <w:pPr>
                        <w:pStyle w:val="LO-normal"/>
                        <w:ind w:rightChars="40" w:right="80"/>
                        <w:jc w:val="both"/>
                      </w:pPr>
                      <w:r>
                        <w:rPr>
                          <w:noProof/>
                          <w:position w:val="-2"/>
                        </w:rPr>
                        <w:drawing>
                          <wp:inline distT="0" distB="0" distL="0" distR="0" wp14:anchorId="41DCECB1" wp14:editId="53710F2D">
                            <wp:extent cx="152400" cy="152400"/>
                            <wp:effectExtent l="0" t="0" r="0" b="0"/>
                            <wp:docPr id="1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t xml:space="preserve">orcid.org/xxxx-xxxx-xxxx-xxxx</w:t>
                      </w:r>
                    </w:p>
                    <w:p w:rsidR="00CD3A14" w:rsidRDefault="00CD3A14"/>
                  </w:txbxContent>
                </v:textbox>
                <w10:anchorlock/>
              </v:shape>
            </w:pict>
          </mc:Fallback>
        </mc:AlternateContent>
      </w:r>
    </w:p>
    <w:p w:rsidR="00CD3A14" w:rsidRDefault="00CD3A14">
      <w:pPr>
        <w:pStyle w:val="LO-normal"/>
        <w:rPr>
          <w:i/>
          <w:iCs/>
          <w:lang w:val="en-US"/>
        </w:rPr>
      </w:pPr>
    </w:p>
    <w:p w:rsidR="00CD3A14" w:rsidRDefault="00CD3A14">
      <w:pPr>
        <w:pStyle w:val="LO-normal"/>
        <w:rPr>
          <w:i/>
          <w:iCs/>
          <w:lang w:val="en-US"/>
        </w:rPr>
        <w:sectPr w:rsidR="00CD3A14">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134" w:right="1134" w:bottom="1134" w:left="1134" w:header="170" w:footer="510" w:gutter="0"/>
          <w:cols w:space="720"/>
          <w:titlePg/>
          <w:docGrid w:linePitch="272"/>
        </w:sectPr>
      </w:pPr>
    </w:p>
    <w:p w:rsidR="00CD3A14" w:rsidRPr="000210A0" w:rsidRDefault="00CD3A14">
      <w:pPr>
        <w:pStyle w:val="LO-normal"/>
        <w:ind w:rightChars="40" w:right="80"/>
        <w:jc w:val="both"/>
        <w:rPr>
          <w:lang w:val="en-US"/>
        </w:rPr>
      </w:pPr>
    </w:p>
    <w:p w:rsidR="00CD3A14" w:rsidRPr="000210A0" w:rsidRDefault="00CD3A14">
      <w:pPr>
        <w:pStyle w:val="LO-normal"/>
        <w:ind w:rightChars="40" w:right="80"/>
        <w:jc w:val="both"/>
        <w:rPr>
          <w:lang w:val="en-US"/>
        </w:rPr>
      </w:pPr>
    </w:p>
    <w:p w:rsidR="00CD3A14" w:rsidRPr="000210A0" w:rsidRDefault="002E6133">
      <w:pPr>
        <w:pStyle w:val="LO-normal"/>
        <w:ind w:rightChars="40" w:right="80"/>
        <w:jc w:val="both"/>
        <w:rPr>
          <w:lang w:val="en-US"/>
        </w:rPr>
      </w:pPr>
      <w:r>
        <w:rPr>
          <w:noProof/>
        </w:rPr>
        <mc:AlternateContent>
          <mc:Choice Requires="wps">
            <w:drawing>
              <wp:anchor distT="0" distB="0" distL="114300" distR="114300" simplePos="0" relativeHeight="251656704" behindDoc="0" locked="0" layoutInCell="1" allowOverlap="1">
                <wp:simplePos x="0" y="0"/>
                <wp:positionH relativeFrom="column">
                  <wp:posOffset>2099945</wp:posOffset>
                </wp:positionH>
                <wp:positionV relativeFrom="paragraph">
                  <wp:posOffset>74930</wp:posOffset>
                </wp:positionV>
                <wp:extent cx="27305" cy="5837555"/>
                <wp:effectExtent l="19685" t="17780" r="19685" b="21590"/>
                <wp:wrapNone/>
                <wp:docPr id="16" name="Linha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05" cy="5837555"/>
                        </a:xfrm>
                        <a:prstGeom prst="line">
                          <a:avLst/>
                        </a:prstGeom>
                        <a:noFill/>
                        <a:ln w="2857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C9F0AF" id="Linha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35pt,5.9pt" to="167.5pt,4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" strokecolor="#002060" strokeweight="2.25pt">
                <v:fill o:detectmouseclick="t"/>
              </v:line>
            </w:pict>
          </mc:Fallback>
        </mc:AlternateContent>
      </w:r>
    </w:p>
    <w:p w:rsidR="00CD3A14" w:rsidRDefault="00CD3A14">
      <w:pPr>
        <w:pStyle w:val="LO-normal"/>
        <w:ind w:rightChars="40" w:right="80"/>
        <w:jc w:val="both"/>
      </w:pPr>
      <w:r>
        <w:rPr>
          <w:rFonts w:ascii="Verdana" w:hAnsi="Verdana"/>
          <w:sz w:val="14"/>
        </w:rPr>
        <w:t>1Escola Politécnica de Pernambuco, Universidade de Pernambuco (POLI-UPE), Recife, Brasil. Professor Orientador: Prof. Dr. Alexandre Maciel. E-mails: xxxx@xxxx.com.</w:t>
      </w:r>
    </w:p>
    <w:p w:rsidR="00CD3A14" w:rsidRDefault="00CD3A14">
      <w:pPr>
        <w:pStyle w:val="LO-normal"/>
        <w:ind w:rightChars="40" w:right="80"/>
        <w:jc w:val="both"/>
      </w:pPr>
    </w:p>
    <w:p w:rsidR="00CD3A14" w:rsidRDefault="00CD3A14">
      <w:pPr>
        <w:pStyle w:val="LO-normal"/>
        <w:ind w:rightChars="40" w:right="80"/>
        <w:jc w:val="both"/>
        <w:rPr>
          <w:color w:val="212121"/>
          <w:sz w:val="14"/>
          <w:szCs w:val="14"/>
        </w:rPr>
      </w:pPr>
      <w:r>
        <w:rPr>
          <w:rFonts w:ascii="Verdana" w:hAnsi="Verdana"/>
          <w:sz w:val="14"/>
        </w:rPr>
        <w:t>Curso de Engenharia da Computação - Mineração de Dados.</w:t>
      </w:r>
    </w:p>
    <w:p w:rsidR="00CD3A14" w:rsidRDefault="00CD3A14">
      <w:pPr>
        <w:pStyle w:val="LO-normal"/>
        <w:ind w:rightChars="40" w:right="80"/>
        <w:jc w:val="both"/>
        <w:rPr>
          <w:color w:val="212121"/>
          <w:sz w:val="14"/>
          <w:szCs w:val="14"/>
        </w:rPr>
      </w:pPr>
    </w:p>
    <w:p w:rsidR="00CD3A14" w:rsidRDefault="00CD3A14">
      <w:pPr>
        <w:pStyle w:val="LO-normal"/>
        <w:ind w:rightChars="40" w:right="80"/>
        <w:jc w:val="both"/>
        <w:rPr>
          <w:sz w:val="14"/>
          <w:szCs w:val="14"/>
        </w:rPr>
      </w:pPr>
      <w:r>
        <w:rPr>
          <w:rFonts w:ascii="Verdana" w:hAnsi="Verdana"/>
          <w:sz w:val="14"/>
        </w:rPr>
        <w:t>Pesquisa e Desenvolvimento em Inteligência Computacional Aplicada a Séries Macroeconômicas.</w:t>
      </w:r>
    </w:p>
    <w:p w:rsidR="00CD3A14" w:rsidRDefault="00CD3A14">
      <w:pPr>
        <w:pStyle w:val="LO-normal"/>
        <w:ind w:rightChars="40" w:right="80"/>
        <w:jc w:val="both"/>
        <w:rPr>
          <w:sz w:val="14"/>
          <w:szCs w:val="14"/>
        </w:rPr>
      </w:pPr>
    </w:p>
    <w:p w:rsidR="00CD3A14" w:rsidRDefault="00CD3A14">
      <w:pPr>
        <w:pStyle w:val="LO-normal"/>
        <w:ind w:rightChars="40" w:right="80"/>
        <w:jc w:val="both"/>
        <w:rPr>
          <w:sz w:val="14"/>
          <w:szCs w:val="14"/>
        </w:rPr>
      </w:pPr>
    </w:p>
    <w:p w:rsidR="00CD3A14" w:rsidRDefault="00CD3A14">
      <w:pPr>
        <w:pStyle w:val="LO-normal"/>
        <w:ind w:rightChars="40" w:right="80"/>
        <w:jc w:val="both"/>
        <w:rPr>
          <w:color w:val="002060"/>
          <w:sz w:val="14"/>
          <w:szCs w:val="14"/>
        </w:rPr>
      </w:pPr>
      <w:r>
        <w:rPr>
          <w:rFonts w:ascii="Verdana" w:hAnsi="Verdana"/>
          <w:color w:val="002060"/>
          <w:sz w:val="14"/>
        </w:rPr>
        <w:t>Artigo recebido em: 15/09/2026</w:t>
      </w:r>
    </w:p>
    <w:p w:rsidR="00CD3A14" w:rsidRDefault="00CD3A14">
      <w:pPr>
        <w:pStyle w:val="LO-normal"/>
        <w:ind w:rightChars="40" w:right="80"/>
        <w:jc w:val="both"/>
        <w:rPr>
          <w:color w:val="002060"/>
          <w:sz w:val="14"/>
          <w:szCs w:val="14"/>
        </w:rPr>
      </w:pPr>
      <w:r>
        <w:rPr>
          <w:rFonts w:ascii="Verdana" w:hAnsi="Verdana"/>
          <w:color w:val="002060"/>
          <w:sz w:val="14"/>
        </w:rPr>
        <w:t>Artigo aceito em: 14/10/2026</w:t>
      </w:r>
    </w:p>
    <w:p w:rsidR="00CD3A14" w:rsidRDefault="00CD3A14">
      <w:pPr>
        <w:pStyle w:val="LO-normal"/>
        <w:ind w:rightChars="40" w:right="80"/>
        <w:jc w:val="both"/>
        <w:rPr>
          <w:color w:val="002060"/>
          <w:sz w:val="14"/>
          <w:szCs w:val="14"/>
        </w:rPr>
      </w:pPr>
    </w:p>
    <w:p w:rsidR="00CD3A14" w:rsidRDefault="00CD3A14">
      <w:pPr>
        <w:pStyle w:val="LO-normal"/>
        <w:ind w:rightChars="40" w:right="80"/>
        <w:jc w:val="both"/>
        <w:rPr>
          <w:color w:val="002060"/>
          <w:sz w:val="14"/>
          <w:szCs w:val="14"/>
        </w:rPr>
      </w:pPr>
      <w:r>
        <w:rPr>
          <w:rFonts w:ascii="Verdana" w:hAnsi="Verdana"/>
          <w:color w:val="002060"/>
          <w:sz w:val="14"/>
        </w:rPr>
        <w:t>DOI: 10.xxxx/xxxx</w:t>
      </w:r>
    </w:p>
    <w:p w:rsidR="00CD3A14" w:rsidRDefault="00CD3A14">
      <w:pPr>
        <w:pStyle w:val="LO-normal"/>
        <w:ind w:rightChars="40" w:right="80"/>
        <w:jc w:val="both"/>
        <w:rPr>
          <w:color w:val="002060"/>
          <w:sz w:val="14"/>
          <w:szCs w:val="14"/>
        </w:rPr>
      </w:pPr>
    </w:p>
    <w:p w:rsidR="00CD3A14" w:rsidRDefault="00CD3A14">
      <w:pPr>
        <w:pStyle w:val="LO-normal"/>
        <w:ind w:rightChars="40" w:right="80"/>
        <w:jc w:val="both"/>
        <w:rPr>
          <w:rFonts w:eastAsia="SimSun"/>
          <w:color w:val="002060"/>
          <w:sz w:val="14"/>
          <w:szCs w:val="14"/>
        </w:rPr>
      </w:pPr>
      <w:r>
        <w:rPr>
          <w:rFonts w:ascii="Verdana" w:hAnsi="Verdana"/>
          <w:color w:val="002060"/>
          <w:sz w:val="14"/>
        </w:rPr>
        <w:t>Esta obra apresenta Licença Creative Commons Atribuição-Não Comercial 4.0 Internacional.</w:t>
      </w:r>
    </w:p>
    <w:p w:rsidR="00CD3A14" w:rsidRDefault="00CD3A14">
      <w:pPr>
        <w:pStyle w:val="LO-normal"/>
        <w:ind w:rightChars="40" w:right="80"/>
        <w:jc w:val="both"/>
        <w:rPr>
          <w:rFonts w:eastAsia="SimSun"/>
          <w:color w:val="002060"/>
          <w:sz w:val="16"/>
          <w:szCs w:val="16"/>
        </w:rPr>
      </w:pPr>
    </w:p>
    <w:p w:rsidR="00CD3A14" w:rsidRDefault="00CD3A14">
      <w:pPr>
        <w:pStyle w:val="LO-normal"/>
        <w:ind w:rightChars="40" w:right="80"/>
        <w:jc w:val="both"/>
        <w:rPr>
          <w:rFonts w:eastAsia="SimSun"/>
          <w:color w:val="002060"/>
          <w:sz w:val="14"/>
          <w:szCs w:val="14"/>
        </w:rPr>
      </w:pPr>
      <w:r>
        <w:rPr>
          <w:rFonts w:ascii="Verdana" w:hAnsi="Verdana"/>
          <w:color w:val="002060"/>
          <w:sz w:val="14"/>
        </w:rPr>
        <w:t>Como citar este artigo pela NBR 6023/2018: PROTÁSIO, B.; MENESES, D.; VINICIUS, M.; EMANUEL, V. Mineração de Séries Temporais para Previsão da Inflação: Arquitetura Híbrida Multivariada e Otimização Bioinspirada de Atributos. Revista de Engenharia e Pesquisa Aplicada, Recife, v. xx, n. xx, p. xx-xx, 2026. DOI: 10.xxxx/xxxx.</w:t>
      </w:r>
    </w:p>
    <w:p w:rsidR="00CD3A14" w:rsidRDefault="002E6133">
      <w:pPr>
        <w:pStyle w:val="LO-normal"/>
        <w:jc w:val="both"/>
        <w:rPr>
          <w:sz w:val="14"/>
          <w:szCs w:val="14"/>
        </w:rPr>
      </w:pPr>
      <w:r>
        <w:rPr>
          <w:noProof/>
          <w:sz w:val="14"/>
        </w:rPr>
        <mc:AlternateContent>
          <mc:Choice Requires="wps">
            <w:drawing>
              <wp:anchor distT="0" distB="0" distL="114300" distR="114300" simplePos="0" relativeHeight="251660800" behindDoc="0" locked="0" layoutInCell="1" allowOverlap="1">
                <wp:simplePos x="0" y="0"/>
                <wp:positionH relativeFrom="column">
                  <wp:posOffset>2280285</wp:posOffset>
                </wp:positionH>
                <wp:positionV relativeFrom="paragraph">
                  <wp:posOffset>-2781935</wp:posOffset>
                </wp:positionV>
                <wp:extent cx="4391025" cy="5738495"/>
                <wp:effectExtent l="9525" t="11430" r="9525" b="12700"/>
                <wp:wrapNone/>
                <wp:docPr id="15"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025" cy="5738495"/>
                        </a:xfrm>
                        <a:prstGeom prst="rect">
                          <a:avLst/>
                        </a:prstGeom>
                        <a:solidFill>
                          <a:srgbClr val="DCE6F2"/>
                        </a:solidFill>
                        <a:ln w="9525">
                          <a:solidFill>
                            <a:srgbClr val="DCE6F2"/>
                          </a:solidFill>
                          <a:miter lim="800000"/>
                          <a:headEnd/>
                          <a:tailEnd/>
                        </a:ln>
                      </wps:spPr>
                      <wps:txbx>
                        <w:txbxContent>
                          <w:p w:rsidR="00CD3A14" w:rsidRDefault="00CD3A14">
                            <w:pPr>
                              <w:pStyle w:val="LO-normal"/>
                              <w:rPr>
                                <w:sz w:val="18"/>
                                <w:szCs w:val="18"/>
                              </w:rPr>
                            </w:pPr>
                            <w:r>
                              <w:rPr>
                                <w:b/>
                                <w:color w:val="002060"/>
                                <w:sz w:val="18"/>
                                <w:szCs w:val="18"/>
                              </w:rPr>
                              <w:t xml:space="preserve">RESUMO </w:t>
                            </w:r>
                          </w:p>
                          <w:p w:rsidR="00CD3A14" w:rsidRDefault="00CD3A14">
                            <w:pPr>
                              <w:pStyle w:val="LO-normal"/>
                              <w:rPr>
                                <w:sz w:val="18"/>
                                <w:szCs w:val="18"/>
                              </w:rPr>
                            </w:pPr>
                          </w:p>
                          <w:p w:rsidR="00CD3A14" w:rsidRDefault="00CD3A14">
                            <w:pPr>
                              <w:pStyle w:val="LO-normal"/>
                              <w:spacing w:line="276" w:lineRule="auto"/>
                              <w:jc w:val="both"/>
                              <w:rPr>
                                <w:sz w:val="18"/>
                                <w:szCs w:val="18"/>
                              </w:rPr>
                            </w:pPr>
                            <w:r>
                              <w:rPr>
                                <w:sz w:val="18"/>
                                <w:szCs w:val="18"/>
                              </w:rPr>
                              <w:t xml:space="preserve">A dinâmica da inflação no Brasil caracteriza-se por uma complexa interação entre inércia contratual e vulnerabilidade a choques macroeconômicos exógenos. Este trabalho investiga a fronteira preditiva do Índice Nacional de Preços ao Consumidor Amplo (IPCA) sob a ótica da Mineração de Dados e Engenharia da Computação. O objetivo central consiste em desenvolver uma arquitetura híbrida multivariada combinando modelagem autoregressiva linear da inércia estocástica e regressores de machine learning alimentados por seleção bioinspirada de atributos (Feature Selection via Algoritmos Genéticos e PSO). Na presente etapa, estruturou-se um pipeline computacional rigoroso de coleta, saneamento, engenharia de atributos e análise exploratória descritiva de um painel de 29 variáveis macroeconômicas extraídas do Banco Central do Brasil, cobrindo o período de 2012 a 2026 (174 meses contínuos). Os métodos empregados englobam padronização temporal Month-Start, saneamento de zeros contábeis estruturais, imputação temporal sem vazamento de dados (zero data leakage), codificação trigonométrica da sazonalidade e discretização paramétrica dos regimes inflacionários (Deflação, Meta e Alta). A análise descritiva revelou assimetria positiva (+0,53), concentração da mediana em 0,38% a.m. e presença de cinco outliers estruturais associados a choques de oferta e rupturas de cadeias globais de suprimentos. Os resultados estabelecem uma base saneada de alta integridade, fornecendo o arcabouço empírico indispensável para a subsequente calibração dos modelos híbridos e algoritmos de otimização.</w:t>
                            </w:r>
                            <w:proofErr w:type="spellStart"/>
                            <w:proofErr w:type="spellEnd"/>
                            <w:proofErr w:type="spellStart"/>
                            <w:proofErr w:type="spellEnd"/>
                          </w:p>
                          <w:p w:rsidR="00CD3A14" w:rsidRDefault="00CD3A14">
                            <w:pPr>
                              <w:pStyle w:val="LO-normal"/>
                              <w:jc w:val="both"/>
                              <w:rPr>
                                <w:sz w:val="18"/>
                                <w:szCs w:val="18"/>
                              </w:rPr>
                            </w:pPr>
                          </w:p>
                          <w:p w:rsidR="00CD3A14" w:rsidRDefault="00CD3A14">
                            <w:pPr>
                              <w:pStyle w:val="LO-normal"/>
                              <w:rPr>
                                <w:sz w:val="18"/>
                                <w:szCs w:val="18"/>
                              </w:rPr>
                            </w:pPr>
                            <w:r>
                              <w:rPr>
                                <w:b/>
                                <w:color w:val="002060"/>
                                <w:sz w:val="18"/>
                                <w:szCs w:val="18"/>
                              </w:rPr>
                              <w:t xml:space="preserve">PALAVRAS-CHAVE: Mineração de Séries Temporais; Previsão da Inflação; IPCA; Engenharia de Atributos; Econometria Preditiva;</w:t>
                            </w:r>
                          </w:p>
                          <w:p w:rsidR="00CD3A14" w:rsidRDefault="00CD3A14">
                            <w:pPr>
                              <w:pStyle w:val="Corpodetexto"/>
                              <w:spacing w:after="0" w:line="240" w:lineRule="auto"/>
                              <w:ind w:right="68" w:firstLine="0"/>
                              <w:rPr>
                                <w:sz w:val="18"/>
                                <w:szCs w:val="18"/>
                              </w:rPr>
                            </w:pPr>
                          </w:p>
                          <w:p w:rsidR="00CD3A14" w:rsidRDefault="00CD3A14">
                            <w:pPr>
                              <w:pStyle w:val="LO-normal"/>
                              <w:rPr>
                                <w:iCs/>
                                <w:sz w:val="18"/>
                                <w:szCs w:val="18"/>
                                <w:lang w:val="en-US"/>
                              </w:rPr>
                            </w:pPr>
                            <w:r>
                              <w:rPr>
                                <w:b/>
                                <w:iCs/>
                                <w:color w:val="002060"/>
                                <w:sz w:val="18"/>
                                <w:szCs w:val="18"/>
                                <w:lang w:val="en-US"/>
                              </w:rPr>
                              <w:t xml:space="preserve">ABSTRACT</w:t>
                            </w:r>
                          </w:p>
                          <w:p w:rsidR="00CD3A14" w:rsidRDefault="00CD3A14">
                            <w:pPr>
                              <w:pStyle w:val="LO-normal"/>
                              <w:rPr>
                                <w:iCs/>
                                <w:sz w:val="18"/>
                                <w:szCs w:val="18"/>
                                <w:lang w:val="en-US"/>
                              </w:rPr>
                            </w:pPr>
                          </w:p>
                          <w:p w:rsidR="00CD3A14" w:rsidRDefault="00CD3A14">
                            <w:pPr>
                              <w:pStyle w:val="LO-normal"/>
                              <w:jc w:val="both"/>
                              <w:rPr>
                                <w:iCs/>
                                <w:color w:val="212121"/>
                                <w:sz w:val="18"/>
                                <w:szCs w:val="18"/>
                                <w:lang w:val="en-US"/>
                              </w:rPr>
                            </w:pPr>
                            <w:r>
                              <w:rPr>
                                <w:iCs/>
                                <w:sz w:val="18"/>
                                <w:szCs w:val="18"/>
                                <w:lang w:val="en-US"/>
                              </w:rPr>
                              <w:t xml:space="preserve">Inflation dynamics in Brazil are characterized by a complex interplay between contractual inertia and vulnerability to exogenous macroeconomic shocks. This study investigates the predictive frontier of the Broad National Consumer Price Index (IPCA) from a Data Mining and Computer Engineering perspective. The main objective of the research is to develop a multivariate hybrid predictive architecture combining linear autoregressive modeling of stochastic inertia with machine learning regressors driven by bio-inspired feature selection (Genetic Algorithms and PSO). In this phase, a rigorous computational pipeline was established for data extraction, cleaning, feature engineering, and exploratory descriptive analysis across 29 macroeconomic variables sourced from the Central Bank of Brazil, spanning from 2012 to 2026 (174 continuous months). Implemented methods encompass Month-Start temporal standardization, structural accounting zero cleansing, leakage-free causal imputation (zero data leakage), cyclical trigonometric seasonal encoding, and parametric discretization of inflation regimes (Deflation, Target, and High). Descriptive analysis revealed positive skewness (+0.53), a median concentration of 0.38% per month, and five structural outliers linked to supply shocks and global supply chain disruptions. These findings establish a sanitized, high-integrity dataset, providing the empirical foundation required for the subsequent calibration of hybrid predictive models and optimization algorithms.</w:t>
                            </w:r>
                            <w:proofErr w:type="gramStart"/>
                            <w:proofErr w:type="gramEnd"/>
                          </w:p>
                          <w:p w:rsidR="00CD3A14" w:rsidRDefault="00CD3A14">
                            <w:pPr>
                              <w:pStyle w:val="LO-normal"/>
                              <w:jc w:val="both"/>
                              <w:rPr>
                                <w:iCs/>
                                <w:color w:val="212121"/>
                                <w:sz w:val="18"/>
                                <w:szCs w:val="18"/>
                                <w:lang w:val="en-US"/>
                              </w:rPr>
                            </w:pPr>
                          </w:p>
                          <w:p w:rsidR="00CD3A14" w:rsidRDefault="00CD3A14">
                            <w:pPr>
                              <w:pStyle w:val="LO-normal"/>
                              <w:rPr>
                                <w:color w:val="212121"/>
                                <w:sz w:val="18"/>
                                <w:szCs w:val="18"/>
                                <w:lang w:val="en-US"/>
                              </w:rPr>
                            </w:pPr>
                            <w:proofErr w:type="gramStart"/>
                            <w:r>
                              <w:rPr>
                                <w:b/>
                                <w:bCs/>
                                <w:iCs/>
                                <w:color w:val="002060"/>
                                <w:sz w:val="18"/>
                                <w:szCs w:val="18"/>
                                <w:lang w:val="en-US"/>
                              </w:rPr>
                              <w:t xml:space="preserve">KEY-WORDS: Time Series Mining; Inflation Forecasting; IPCA; Feature Engineering; Predictive Econometrics;</w:t>
                            </w:r>
                            <w:proofErr w:type="gramEnd"/>
                          </w:p>
                          <w:p w:rsidR="00CD3A14" w:rsidRPr="000210A0" w:rsidRDefault="00CD3A14">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aixa de texto 10" o:spid="_x0000_s1029" type="#_x0000_t202" style="position:absolute;left:0;text-align:left;margin-left:179.55pt;margin-top:-219.05pt;width:345.75pt;height:451.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" fillcolor="#dce6f2" strokecolor="#dce6f2">
                <v:textbox>
                  <w:txbxContent>
                    <w:p w:rsidR="00CD3A14" w:rsidRDefault="00CD3A14">
                      <w:pPr>
                        <w:pStyle w:val="LO-normal"/>
                        <w:rPr>
                          <w:sz w:val="18"/>
                          <w:szCs w:val="18"/>
                        </w:rPr>
                      </w:pPr>
                      <w:r>
                        <w:rPr>
                          <w:b/>
                          <w:color w:val="002060"/>
                          <w:sz w:val="18"/>
                          <w:szCs w:val="18"/>
                        </w:rPr>
                        <w:t xml:space="preserve">RESUMO </w:t>
                      </w:r>
                    </w:p>
                    <w:p w:rsidR="00CD3A14" w:rsidRDefault="00CD3A14">
                      <w:pPr>
                        <w:pStyle w:val="LO-normal"/>
                        <w:rPr>
                          <w:sz w:val="18"/>
                          <w:szCs w:val="18"/>
                        </w:rPr>
                      </w:pPr>
                    </w:p>
                    <w:p w:rsidR="00CD3A14" w:rsidRDefault="00CD3A14">
                      <w:pPr>
                        <w:pStyle w:val="LO-normal"/>
                        <w:spacing w:line="276" w:lineRule="auto"/>
                        <w:jc w:val="both"/>
                        <w:rPr>
                          <w:sz w:val="18"/>
                          <w:szCs w:val="18"/>
                        </w:rPr>
                      </w:pPr>
                      <w:r>
                        <w:rPr>
                          <w:sz w:val="18"/>
                          <w:szCs w:val="18"/>
                        </w:rPr>
                        <w:t xml:space="preserve">A dinâmica da inflação no Brasil caracteriza-se por uma complexa interação entre inércia contratual e vulnerabilidade a choques macroeconômicos exógenos. Este trabalho investiga a fronteira preditiva do Índice Nacional de Preços ao Consumidor Amplo (IPCA) sob a ótica da Mineração de Dados e Engenharia da Computação. O objetivo central consiste em desenvolver uma arquitetura híbrida multivariada combinando modelagem autoregressiva linear da inércia estocástica e regressores de machine learning alimentados por seleção bioinspirada de atributos (Feature Selection via Algoritmos Genéticos e PSO). Na presente etapa, estruturou-se um pipeline computacional rigoroso de coleta, saneamento, engenharia de atributos e análise exploratória descritiva de um painel de 29 variáveis macroeconômicas extraídas do Banco Central do Brasil, cobrindo o período de 2012 a 2026 (174 meses contínuos). Os métodos empregados englobam padronização temporal Month-Start, saneamento de zeros contábeis estruturais, imputação temporal sem vazamento de dados (zero data leakage), codificação trigonométrica da sazonalidade e discretização paramétrica dos regimes inflacionários (Deflação, Meta e Alta). A análise descritiva revelou assimetria positiva (+0,53), concentração da mediana em 0,38% a.m. e presença de cinco outliers estruturais associados a choques de oferta e rupturas de cadeias globais de suprimentos. Os resultados estabelecem uma base saneada de alta integridade, fornecendo o arcabouço empírico indispensável para a subsequente calibração dos modelos híbridos e algoritmos de otimização.</w:t>
                      </w:r>
                      <w:proofErr w:type="spellStart"/>
                      <w:proofErr w:type="spellEnd"/>
                      <w:proofErr w:type="spellStart"/>
                      <w:proofErr w:type="spellEnd"/>
                    </w:p>
                    <w:p w:rsidR="00CD3A14" w:rsidRDefault="00CD3A14">
                      <w:pPr>
                        <w:pStyle w:val="LO-normal"/>
                        <w:jc w:val="both"/>
                        <w:rPr>
                          <w:sz w:val="18"/>
                          <w:szCs w:val="18"/>
                        </w:rPr>
                      </w:pPr>
                    </w:p>
                    <w:p w:rsidR="00CD3A14" w:rsidRDefault="00CD3A14">
                      <w:pPr>
                        <w:pStyle w:val="LO-normal"/>
                        <w:rPr>
                          <w:sz w:val="18"/>
                          <w:szCs w:val="18"/>
                        </w:rPr>
                      </w:pPr>
                      <w:r>
                        <w:rPr>
                          <w:b/>
                          <w:color w:val="002060"/>
                          <w:sz w:val="18"/>
                          <w:szCs w:val="18"/>
                        </w:rPr>
                        <w:t xml:space="preserve">PALAVRAS-CHAVE: Mineração de Séries Temporais; Previsão da Inflação; IPCA; Engenharia de Atributos; Econometria Preditiva;</w:t>
                      </w:r>
                    </w:p>
                    <w:p w:rsidR="00CD3A14" w:rsidRDefault="00CD3A14">
                      <w:pPr>
                        <w:pStyle w:val="Corpodetexto"/>
                        <w:spacing w:after="0" w:line="240" w:lineRule="auto"/>
                        <w:ind w:right="68" w:firstLine="0"/>
                        <w:rPr>
                          <w:sz w:val="18"/>
                          <w:szCs w:val="18"/>
                        </w:rPr>
                      </w:pPr>
                    </w:p>
                    <w:p w:rsidR="00CD3A14" w:rsidRDefault="00CD3A14">
                      <w:pPr>
                        <w:pStyle w:val="LO-normal"/>
                        <w:rPr>
                          <w:iCs/>
                          <w:sz w:val="18"/>
                          <w:szCs w:val="18"/>
                          <w:lang w:val="en-US"/>
                        </w:rPr>
                      </w:pPr>
                      <w:r>
                        <w:rPr>
                          <w:b/>
                          <w:iCs/>
                          <w:color w:val="002060"/>
                          <w:sz w:val="18"/>
                          <w:szCs w:val="18"/>
                          <w:lang w:val="en-US"/>
                        </w:rPr>
                        <w:t xml:space="preserve">ABSTRACT</w:t>
                      </w:r>
                    </w:p>
                    <w:p w:rsidR="00CD3A14" w:rsidRDefault="00CD3A14">
                      <w:pPr>
                        <w:pStyle w:val="LO-normal"/>
                        <w:rPr>
                          <w:iCs/>
                          <w:sz w:val="18"/>
                          <w:szCs w:val="18"/>
                          <w:lang w:val="en-US"/>
                        </w:rPr>
                      </w:pPr>
                    </w:p>
                    <w:p w:rsidR="00CD3A14" w:rsidRDefault="00CD3A14">
                      <w:pPr>
                        <w:pStyle w:val="LO-normal"/>
                        <w:jc w:val="both"/>
                        <w:rPr>
                          <w:iCs/>
                          <w:color w:val="212121"/>
                          <w:sz w:val="18"/>
                          <w:szCs w:val="18"/>
                          <w:lang w:val="en-US"/>
                        </w:rPr>
                      </w:pPr>
                      <w:r>
                        <w:rPr>
                          <w:iCs/>
                          <w:sz w:val="18"/>
                          <w:szCs w:val="18"/>
                          <w:lang w:val="en-US"/>
                        </w:rPr>
                        <w:t xml:space="preserve">Inflation dynamics in Brazil are characterized by a complex interplay between contractual inertia and vulnerability to exogenous macroeconomic shocks. This study investigates the predictive frontier of the Broad National Consumer Price Index (IPCA) from a Data Mining and Computer Engineering perspective. The main objective of the research is to develop a multivariate hybrid predictive architecture combining linear autoregressive modeling of stochastic inertia with machine learning regressors driven by bio-inspired feature selection (Genetic Algorithms and PSO). In this phase, a rigorous computational pipeline was established for data extraction, cleaning, feature engineering, and exploratory descriptive analysis across 29 macroeconomic variables sourced from the Central Bank of Brazil, spanning from 2012 to 2026 (174 continuous months). Implemented methods encompass Month-Start temporal standardization, structural accounting zero cleansing, leakage-free causal imputation (zero data leakage), cyclical trigonometric seasonal encoding, and parametric discretization of inflation regimes (Deflation, Target, and High). Descriptive analysis revealed positive skewness (+0.53), a median concentration of 0.38% per month, and five structural outliers linked to supply shocks and global supply chain disruptions. These findings establish a sanitized, high-integrity dataset, providing the empirical foundation required for the subsequent calibration of hybrid predictive models and optimization algorithms.</w:t>
                      </w:r>
                      <w:proofErr w:type="gramStart"/>
                      <w:proofErr w:type="gramEnd"/>
                    </w:p>
                    <w:p w:rsidR="00CD3A14" w:rsidRDefault="00CD3A14">
                      <w:pPr>
                        <w:pStyle w:val="LO-normal"/>
                        <w:jc w:val="both"/>
                        <w:rPr>
                          <w:iCs/>
                          <w:color w:val="212121"/>
                          <w:sz w:val="18"/>
                          <w:szCs w:val="18"/>
                          <w:lang w:val="en-US"/>
                        </w:rPr>
                      </w:pPr>
                    </w:p>
                    <w:p w:rsidR="00CD3A14" w:rsidRDefault="00CD3A14">
                      <w:pPr>
                        <w:pStyle w:val="LO-normal"/>
                        <w:rPr>
                          <w:color w:val="212121"/>
                          <w:sz w:val="18"/>
                          <w:szCs w:val="18"/>
                          <w:lang w:val="en-US"/>
                        </w:rPr>
                      </w:pPr>
                      <w:proofErr w:type="gramStart"/>
                      <w:r>
                        <w:rPr>
                          <w:b/>
                          <w:bCs/>
                          <w:iCs/>
                          <w:color w:val="002060"/>
                          <w:sz w:val="18"/>
                          <w:szCs w:val="18"/>
                          <w:lang w:val="en-US"/>
                        </w:rPr>
                        <w:t xml:space="preserve">KEY-WORDS: Time Series Mining; Inflation Forecasting; IPCA; Feature Engineering; Predictive Econometrics;</w:t>
                      </w:r>
                      <w:proofErr w:type="gramEnd"/>
                    </w:p>
                    <w:p w:rsidR="00CD3A14" w:rsidRPr="000210A0" w:rsidRDefault="00CD3A14">
                      <w:pPr>
                        <w:rPr>
                          <w:lang w:val="en-US"/>
                        </w:rPr>
                      </w:pPr>
                    </w:p>
                  </w:txbxContent>
                </v:textbox>
              </v:shape>
            </w:pict>
          </mc:Fallback>
        </mc:AlternateContent>
      </w:r>
      <w:r w:rsidR="00CD3A14">
        <w:rPr>
          <w:sz w:val="14"/>
          <w:szCs w:val="14"/>
        </w:rPr>
        <w:br w:type="column"/>
      </w:r>
    </w:p>
    <w:p w:rsidR="00CD3A14" w:rsidRDefault="00CD3A14">
      <w:pPr>
        <w:pStyle w:val="LO-normal"/>
        <w:spacing w:before="0" w:after="0"/>
        <w:ind w:left="0" w:right="0" w:firstLine="0"/>
        <w:jc w:val="both"/>
        <w:sectPr w:rsidR="00CD3A14">
          <w:type w:val="continuous"/>
          <w:pgSz w:w="12240" w:h="15840"/>
          <w:pgMar w:top="1134" w:right="1134" w:bottom="1134" w:left="1134" w:header="454" w:footer="510" w:gutter="0"/>
          <w:cols w:num="2" w:space="400" w:equalWidth="0">
            <w:col w:w="3200" w:space="400"/>
            <w:col w:w="6372"/>
          </w:cols>
          <w:docGrid w:linePitch="272"/>
        </w:sectPr>
      </w:pPr>
    </w:p>
    <w:p>
      <w:pPr>
        <w:pStyle w:val="Ttulo2"/>
        <w:keepNext/>
        <w:spacing w:before="280" w:after="80"/>
      </w:pPr>
      <w:r>
        <w:rPr>
          <w:rFonts w:ascii="Verdana" w:hAnsi="Verdana"/>
          <w:b/>
          <w:color w:val="002060"/>
          <w:sz w:val="22"/>
        </w:rPr>
        <w:t>1 INTRODUÇÃO</w:t>
      </w:r>
    </w:p>
    <w:p>
      <w:pPr>
        <w:pStyle w:val="LO-normal"/>
        <w:spacing w:line="276" w:lineRule="auto" w:before="0" w:after="0"/>
        <w:ind w:firstLine="706"/>
        <w:jc w:val="both"/>
      </w:pPr>
      <w:r>
        <w:rPr>
          <w:rFonts w:ascii="Verdana" w:hAnsi="Verdana"/>
          <w:i w:val="0"/>
          <w:color w:val="212121"/>
          <w:sz w:val="18"/>
        </w:rPr>
        <w:t>A estabilidade de preços constitui o alicerce fundamental do planejamento econômico, da preservação da renda do trabalho e da alocação eficiente de recursos produtivos em economias em desenvolvimento [4, 16]. No Brasil, a trajetória do Índice Nacional de Preços ao Consumidor Amplo (IPCA), calculado mensalmente pelo Instituto Brasileiro de Geografia e Estatística (IBGE), é determinada pela constante fricção entre a persistência inercial dos contratos e a exposição recorrente a choques de oferta exógenos, tais como oscilações cambiais e quebras na cadeia produtiva [5, 10, 14]. A literatura preditiva tradicional apoiou-se predominantemente em formulações autorregressivas univariadas, as quais, embora eficazes na captura da inércia estocástica e da sazonalidade, mostram-se lentas na resposta a descontinuidades e perturbações externas [1, 9]. Em contrapartida, abordagens multivariadas fundamentadas em grandes painéis informacionais enfrentam riscos severos de ruído amostral, multicolinearidade e sobreajuste (overfitting) [6, 14].</w:t>
      </w:r>
    </w:p>
    <w:p>
      <w:pPr>
        <w:pStyle w:val="LO-normal"/>
        <w:spacing w:line="276" w:lineRule="auto" w:before="0" w:after="0"/>
        <w:ind w:firstLine="706"/>
        <w:jc w:val="both"/>
      </w:pPr>
      <w:r>
        <w:rPr>
          <w:rFonts w:ascii="Verdana" w:hAnsi="Verdana"/>
          <w:i w:val="0"/>
          <w:color w:val="212121"/>
          <w:sz w:val="18"/>
        </w:rPr>
        <w:t>Diante desse cenário, este projeto de pesquisa tem como objetivo central conceber e validar uma arquitetura híbrida multivariada para a previsão do IPCA, integrando a modelagem da inércia estocástica por processos lineares autorregressivos (ARIMAX) à absorção de choques exógenos residuais não lineares mediante algoritmos de machine learning (Random Forest) com seleção bioinspirada de atributos (Feature Selection via Algoritmos Genéticos e PSO) [7, 8, 11, 18]. A relevância aplicada dessa abordagem estrutura-se em três vertentes diretas [2, 12]:</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b/>
          <w:color w:val="212121"/>
          <w:sz w:val="18"/>
        </w:rPr>
        <w:t xml:space="preserve">Governança Pública e Macroeconômica: </w:t>
      </w:r>
      <w:r>
        <w:rPr>
          <w:rFonts w:ascii="Verdana" w:hAnsi="Verdana"/>
          <w:color w:val="212121"/>
          <w:sz w:val="18"/>
        </w:rPr>
        <w:t>Redução de assimetrias informacionais para a antecipação de pressões de custos antes de sua disseminação na economia, auxiliando na ancoragem das expectativas dos agentes [2, 3].</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b/>
          <w:color w:val="212121"/>
          <w:sz w:val="18"/>
        </w:rPr>
        <w:t xml:space="preserve">Mercado Financeiro e Atividade Corporativa: </w:t>
      </w:r>
      <w:r>
        <w:rPr>
          <w:rFonts w:ascii="Verdana" w:hAnsi="Verdana"/>
          <w:color w:val="212121"/>
          <w:sz w:val="18"/>
        </w:rPr>
        <w:t>Apoio tempestivo ao planejamento orçamentário empresarial, gestão de risco de tesouraria e correta precificação de contratos e ativos indexados à inflação (como debêntures e títulos NTN-B) [12, 17].</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b/>
          <w:color w:val="212121"/>
          <w:sz w:val="18"/>
        </w:rPr>
        <w:t xml:space="preserve">Engenharia da Computação e Mineração de Dados: </w:t>
      </w:r>
      <w:r>
        <w:rPr>
          <w:rFonts w:ascii="Verdana" w:hAnsi="Verdana"/>
          <w:color w:val="212121"/>
          <w:sz w:val="18"/>
        </w:rPr>
        <w:t>Consolidação de um ambiente metodológico rigoroso de mineração em séries temporais complexas, solucionando desafios práticos de sincronização multivariada e prevenção de viés preditivo (zero data leakage) [7, 14].</w:t>
      </w:r>
    </w:p>
    <w:p>
      <w:pPr>
        <w:pStyle w:val="LO-normal"/>
        <w:spacing w:line="276" w:lineRule="auto" w:before="0" w:after="0"/>
        <w:ind w:firstLine="706"/>
        <w:jc w:val="both"/>
      </w:pPr>
      <w:r>
        <w:rPr>
          <w:rFonts w:ascii="Verdana" w:hAnsi="Verdana"/>
          <w:i w:val="0"/>
          <w:color w:val="212121"/>
          <w:sz w:val="18"/>
        </w:rPr>
        <w:t>No escopo da presente etapa, o foco consiste na formalização conceitual do problema, na estruturação do protocolo interdisciplinar e na implementação do pipeline integral de coleta, saneamento, engenharia de atributos e análise exploratória de um painel de 29 variáveis macroeconômicas oficiais (174 meses contínuos, de 2012 a 2026), preparando a base empírica para as etapas posteriores de otimização e calibração preditiva [6, 10].</w:t>
      </w:r>
    </w:p>
    <w:p>
      <w:pPr>
        <w:pStyle w:val="Ttulo3"/>
        <w:keepNext/>
        <w:spacing w:before="200" w:after="60"/>
      </w:pPr>
      <w:r>
        <w:rPr>
          <w:rFonts w:ascii="Verdana" w:hAnsi="Verdana"/>
          <w:b/>
          <w:color w:val="002060"/>
          <w:sz w:val="22"/>
        </w:rPr>
        <w:t>1.1 Descrição do Problema</w:t>
      </w:r>
    </w:p>
    <w:p>
      <w:pPr>
        <w:pStyle w:val="LO-normal"/>
        <w:spacing w:line="276" w:lineRule="auto" w:before="0" w:after="0"/>
        <w:ind w:firstLine="706"/>
        <w:jc w:val="both"/>
      </w:pPr>
      <w:r>
        <w:rPr>
          <w:rFonts w:ascii="Verdana" w:hAnsi="Verdana"/>
          <w:i w:val="0"/>
          <w:color w:val="212121"/>
          <w:sz w:val="18"/>
        </w:rPr>
        <w:t>O desafio central de modelagem reside em arbitrar entre a inércia temporal e a sensibilidade a choques macroeconômicos externos [1, 6]:</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b/>
          <w:color w:val="212121"/>
          <w:sz w:val="18"/>
        </w:rPr>
        <w:t xml:space="preserve">1. A Hipótese Univariada: </w:t>
      </w:r>
      <w:r>
        <w:rPr>
          <w:rFonts w:ascii="Verdana" w:hAnsi="Verdana"/>
          <w:color w:val="212121"/>
          <w:sz w:val="18"/>
        </w:rPr>
        <w:t>Postula que a inércia inflacionária — sustentada por indexação contratual e rigidez de preços — domina a trajetória da série, de modo que modelos autorregressivos simples superariam formulações complexas que demandam estimativas de terceiros [1, 5].</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b/>
          <w:color w:val="212121"/>
          <w:sz w:val="18"/>
        </w:rPr>
        <w:t xml:space="preserve">2. A Hipótese Multivariada: </w:t>
      </w:r>
      <w:r>
        <w:rPr>
          <w:rFonts w:ascii="Verdana" w:hAnsi="Verdana"/>
          <w:color w:val="212121"/>
          <w:sz w:val="18"/>
        </w:rPr>
        <w:t>Postula que indicadores antecedentes de preços no atacado, custos de transporte, cotação do dólar e nível de atividade agregada emitem sinais preditivos antecipados que o histórico isolado do índice de inflação é incapaz de capturar a tempo [6, 14].</w:t>
      </w:r>
    </w:p>
    <w:p>
      <w:pPr>
        <w:pStyle w:val="LO-normal"/>
        <w:spacing w:line="276" w:lineRule="auto" w:before="0" w:after="0"/>
        <w:ind w:firstLine="706"/>
        <w:jc w:val="both"/>
      </w:pPr>
      <w:r>
        <w:rPr>
          <w:rFonts w:ascii="Verdana" w:hAnsi="Verdana"/>
          <w:i w:val="0"/>
          <w:color w:val="212121"/>
          <w:sz w:val="18"/>
        </w:rPr>
        <w:t>O problema concreto investigado consiste em responder se o enriquecimento do espaço de atributos por meio de séries temporais exógenas selecionadas por algoritmos bioinspirados reduz o erro de generalização em horizontes de 1 a 12 meses à frente em comparação aos modelos clássicos puramente autorregressivos [8, 11, 18].</w:t>
      </w:r>
    </w:p>
    <w:p>
      <w:pPr>
        <w:pStyle w:val="Ttulo3"/>
        <w:keepNext/>
        <w:spacing w:before="200" w:after="60"/>
      </w:pPr>
      <w:r>
        <w:rPr>
          <w:rFonts w:ascii="Verdana" w:hAnsi="Verdana"/>
          <w:b/>
          <w:color w:val="002060"/>
          <w:sz w:val="22"/>
        </w:rPr>
        <w:t>1.2 Objetivos do Projeto</w:t>
      </w:r>
    </w:p>
    <w:p>
      <w:pPr>
        <w:pStyle w:val="LO-normal"/>
        <w:keepNext/>
        <w:spacing w:before="160" w:after="40"/>
      </w:pPr>
      <w:r>
        <w:rPr>
          <w:rFonts w:ascii="Verdana" w:hAnsi="Verdana"/>
          <w:b/>
          <w:color w:val="002060"/>
          <w:sz w:val="20"/>
        </w:rPr>
        <w:t>1.2.1 Objetivo Geral da Etapa Atual</w:t>
      </w:r>
    </w:p>
    <w:p>
      <w:pPr>
        <w:pStyle w:val="LO-normal"/>
        <w:spacing w:line="276" w:lineRule="auto" w:before="0" w:after="0"/>
        <w:ind w:firstLine="706"/>
        <w:jc w:val="both"/>
      </w:pPr>
      <w:r>
        <w:rPr>
          <w:rFonts w:ascii="Verdana" w:hAnsi="Verdana"/>
          <w:i w:val="0"/>
          <w:color w:val="212121"/>
          <w:sz w:val="18"/>
        </w:rPr>
        <w:t>Estruturar o arcabouço computacional e conceitual do projeto, formalizando a parceria com os especialistas de domínio (economistas), delimitando a base de dados longitudinal mensal (2012–2026) e executando o saneamento e a análise descritiva dos atributos [7, 10].</w:t>
      </w:r>
    </w:p>
    <w:p>
      <w:pPr>
        <w:pStyle w:val="LO-normal"/>
        <w:keepNext/>
        <w:spacing w:before="160" w:after="40"/>
      </w:pPr>
      <w:r>
        <w:rPr>
          <w:rFonts w:ascii="Verdana" w:hAnsi="Verdana"/>
          <w:b/>
          <w:color w:val="002060"/>
          <w:sz w:val="20"/>
        </w:rPr>
        <w:t>1.2.2 Objetivos Específicos do Escopo Atual</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color w:val="212121"/>
          <w:sz w:val="18"/>
        </w:rPr>
        <w:t>Definir o protocolo de governança interdisciplinar com os especialistas de domínio econômico [2, 14];</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color w:val="212121"/>
          <w:sz w:val="18"/>
        </w:rPr>
        <w:t>Coletar e consolidar 29 variáveis macroeconômicas via API oficial do SGS/BACEN (174 observações mensais contínuas) [2, 10];</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color w:val="212121"/>
          <w:sz w:val="18"/>
        </w:rPr>
        <w:t>Desenvolver e executar rotinas de tratamento de zeros estruturais, sincronização de periodicidades e imputação de valores ausentes sem vazamento de informação temporal (zero data leakage) [7, 14];</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color w:val="212121"/>
          <w:sz w:val="18"/>
        </w:rPr>
        <w:t>Realizar a análise exploratória e descritiva dos atributos numérico (IPCA) e nominal derivado (Regimes de Inflação), caracterizando medidas de tendência central, dispersão, assimetria e presença de outliers [7, 10];</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color w:val="212121"/>
          <w:sz w:val="18"/>
        </w:rPr>
        <w:t>Estruturar o dicionário de dados final da base consolidada pré-processada [2, 15].</w:t>
      </w:r>
    </w:p>
    <w:p>
      <w:pPr>
        <w:pStyle w:val="Ttulo3"/>
        <w:keepNext/>
        <w:spacing w:before="200" w:after="60"/>
      </w:pPr>
      <w:r>
        <w:rPr>
          <w:rFonts w:ascii="Verdana" w:hAnsi="Verdana"/>
          <w:b/>
          <w:color w:val="002060"/>
          <w:sz w:val="22"/>
        </w:rPr>
        <w:t>1.3 Justificativa Metodológica e Aplicada</w:t>
      </w:r>
    </w:p>
    <w:p>
      <w:pPr>
        <w:pStyle w:val="LO-normal"/>
        <w:spacing w:line="276" w:lineRule="auto" w:before="0" w:after="0"/>
        <w:ind w:firstLine="706"/>
        <w:jc w:val="both"/>
      </w:pPr>
      <w:r>
        <w:rPr>
          <w:rFonts w:ascii="Verdana" w:hAnsi="Verdana"/>
          <w:i w:val="0"/>
          <w:color w:val="212121"/>
          <w:sz w:val="18"/>
        </w:rPr>
        <w:t>Projetos preditivos em econometria aplicada frequentemente falham devido à desconexão entre a sofisticação algorítmica e a realidade operacional das variáveis [6, 12]. A elaboração de um pipeline robusto de mineração de dados mitiga riscos de vazamento de dados (look-ahead bias), reduz redundâncias colineares e garante que a posterior aplicação de técnicas de inteligência artificial repouse sobre bases empiricamente consistentes [6, 7, 14].</w:t>
      </w:r>
    </w:p>
    <w:p>
      <w:pPr>
        <w:pStyle w:val="Ttulo3"/>
        <w:keepNext/>
        <w:spacing w:before="200" w:after="60"/>
      </w:pPr>
      <w:r>
        <w:rPr>
          <w:rFonts w:ascii="Verdana" w:hAnsi="Verdana"/>
          <w:b/>
          <w:color w:val="002060"/>
          <w:sz w:val="22"/>
        </w:rPr>
        <w:t>1.4 Delimitação do Escopo e Escopo Negativo</w:t>
      </w:r>
    </w:p>
    <w:p>
      <w:pPr>
        <w:pStyle w:val="LO-normal"/>
        <w:spacing w:line="276" w:lineRule="auto" w:before="0" w:after="0"/>
        <w:ind w:firstLine="706"/>
        <w:jc w:val="both"/>
      </w:pPr>
      <w:r>
        <w:rPr>
          <w:rFonts w:ascii="Verdana" w:hAnsi="Verdana"/>
          <w:i w:val="0"/>
          <w:color w:val="212121"/>
          <w:sz w:val="18"/>
        </w:rPr>
        <w:t>Em estrita conformidade com o cronograma metodológico da disciplina de Mineração de Dados da POLI-UPE [7, 15]:</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b/>
          <w:color w:val="212121"/>
          <w:sz w:val="18"/>
        </w:rPr>
        <w:t xml:space="preserve">Não faz parte desta entrega: </w:t>
      </w:r>
      <w:r>
        <w:rPr>
          <w:rFonts w:ascii="Verdana" w:hAnsi="Verdana"/>
          <w:color w:val="212121"/>
          <w:sz w:val="18"/>
        </w:rPr>
        <w:t>O treinamento, teste, validação cruzada temporal ou ajuste de hiperparâmetros de modelos preditivos (ARIMAX, Random Forest ou Redes Neurais) [1, 14, 18];</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b/>
          <w:color w:val="212121"/>
          <w:sz w:val="18"/>
        </w:rPr>
        <w:t xml:space="preserve">Não faz parte desta entrega: </w:t>
      </w:r>
      <w:r>
        <w:rPr>
          <w:rFonts w:ascii="Verdana" w:hAnsi="Verdana"/>
          <w:color w:val="212121"/>
          <w:sz w:val="18"/>
        </w:rPr>
        <w:t>A execução dos algoritmos bioinspirados de seleção de atributos (Algoritmos Genéticos e Otimização por Enxame de Partículas - PSO) [8, 11];</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b/>
          <w:color w:val="212121"/>
          <w:sz w:val="18"/>
        </w:rPr>
        <w:t xml:space="preserve">Não faz parte desta entrega: </w:t>
      </w:r>
      <w:r>
        <w:rPr>
          <w:rFonts w:ascii="Verdana" w:hAnsi="Verdana"/>
          <w:color w:val="212121"/>
          <w:sz w:val="18"/>
        </w:rPr>
        <w:t>A comparação de métricas preditivas de acurácia (RMSE, MAE, MAPE) e a disponibilização de interface final para usuários [6, 15].</w:t>
      </w:r>
    </w:p>
    <w:p>
      <w:pPr>
        <w:pStyle w:val="Ttulo2"/>
        <w:keepNext/>
        <w:spacing w:before="280" w:after="80"/>
      </w:pPr>
      <w:r>
        <w:rPr>
          <w:rFonts w:ascii="Verdana" w:hAnsi="Verdana"/>
          <w:b/>
          <w:color w:val="002060"/>
          <w:sz w:val="22"/>
        </w:rPr>
        <w:t>2 FUNDAMENTAÇÃO TEÓRICA</w:t>
      </w:r>
    </w:p>
    <w:p>
      <w:pPr>
        <w:pStyle w:val="Ttulo3"/>
        <w:keepNext/>
        <w:spacing w:before="200" w:after="60"/>
      </w:pPr>
      <w:r>
        <w:rPr>
          <w:rFonts w:ascii="Verdana" w:hAnsi="Verdana"/>
          <w:b/>
          <w:color w:val="002060"/>
          <w:sz w:val="22"/>
        </w:rPr>
        <w:t>2.1 Contexto Macroeconômico: Dinâmica da Inflação e Atuação do BACEN</w:t>
      </w:r>
    </w:p>
    <w:p>
      <w:pPr>
        <w:pStyle w:val="LO-normal"/>
        <w:spacing w:line="276" w:lineRule="auto" w:before="0" w:after="0"/>
        <w:ind w:firstLine="706"/>
        <w:jc w:val="both"/>
      </w:pPr>
      <w:r>
        <w:rPr>
          <w:rFonts w:ascii="Verdana" w:hAnsi="Verdana"/>
          <w:i w:val="0"/>
          <w:color w:val="212121"/>
          <w:sz w:val="18"/>
        </w:rPr>
        <w:t>Compreender a dinâmica da inflação requer o conhecimento dos canais econômicos que conectam as decisões de política monetária ao índice de preços ao consumidor [4, 13]:</w:t>
      </w:r>
    </w:p>
    <w:p>
      <w:pPr>
        <w:pStyle w:val="LO-normal"/>
        <w:spacing w:line="276" w:lineRule="auto" w:before="0" w:after="0"/>
        <w:ind w:firstLine="706"/>
        <w:jc w:val="both"/>
      </w:pPr>
      <w:r>
        <w:rPr>
          <w:rFonts w:ascii="Verdana" w:hAnsi="Verdana"/>
          <w:b/>
          <w:color w:val="212121"/>
          <w:sz w:val="18"/>
        </w:rPr>
        <w:t xml:space="preserve">O que é a Inflação na Prática? </w:t>
      </w:r>
      <w:r>
        <w:rPr>
          <w:rFonts w:ascii="Verdana" w:hAnsi="Verdana"/>
          <w:i w:val="0"/>
          <w:color w:val="212121"/>
          <w:sz w:val="18"/>
        </w:rPr>
        <w:t>A inflação corresponde ao aumento generalizado e contínuo do nível de preços de bens e serviços de uma economia ao longo do tempo, acarretando a perda sistemática do poder aquisitivo da moeda nacional [4, 13].</w:t>
      </w:r>
    </w:p>
    <w:p>
      <w:pPr>
        <w:pStyle w:val="LO-normal"/>
        <w:spacing w:line="276" w:lineRule="auto" w:before="0" w:after="0"/>
        <w:ind w:firstLine="706"/>
        <w:jc w:val="both"/>
      </w:pPr>
      <w:r>
        <w:rPr>
          <w:rFonts w:ascii="Verdana" w:hAnsi="Verdana"/>
          <w:b/>
          <w:color w:val="212121"/>
          <w:sz w:val="18"/>
        </w:rPr>
        <w:t xml:space="preserve">Como o IPCA Mede Essa Realidade? </w:t>
      </w:r>
      <w:r>
        <w:rPr>
          <w:rFonts w:ascii="Verdana" w:hAnsi="Verdana"/>
          <w:i w:val="0"/>
          <w:color w:val="212121"/>
          <w:sz w:val="18"/>
        </w:rPr>
        <w:t>O IPCA, calculado pelo IBGE desde 1979 e índice oficial do regime de metas desde 1999, afere o consumo pessoal de famílias com rendimento mensal entre 1 e 40 salários mínimos residentes em áreas urbanas de 16 regiões geográficas do país [10]. Sua cesta abrange mais de 400 subitens agrupados em 9 grupos ponderados pela Pesquisa de Orçamentos Familiares (POF) [10].</w:t>
      </w:r>
    </w:p>
    <w:p>
      <w:pPr>
        <w:pStyle w:val="LO-normal"/>
        <w:spacing w:line="276" w:lineRule="auto" w:before="0" w:after="0"/>
        <w:ind w:firstLine="706"/>
        <w:jc w:val="both"/>
      </w:pPr>
      <w:r>
        <w:rPr>
          <w:rFonts w:ascii="Verdana" w:hAnsi="Verdana"/>
          <w:b/>
          <w:color w:val="212121"/>
          <w:sz w:val="18"/>
        </w:rPr>
        <w:t xml:space="preserve">Os Três Motores da Inflação: </w:t>
      </w:r>
      <w:r>
        <w:rPr>
          <w:rFonts w:ascii="Verdana" w:hAnsi="Verdana"/>
          <w:i w:val="0"/>
          <w:color w:val="212121"/>
          <w:sz w:val="18"/>
        </w:rPr>
        <w:t>A literatura econômica categoriza três forças propulsoras [4, 5, 16]: (a) Inflação de Custos, gerada por choques de oferta em insumos essenciais e repasse cambial (pass-through); (b) Inflação de Demanda, decorrente de pressões em que a demanda agregada suplanta a capacidade produtiva instalada; e (c) Inflação Inercial, sustentada por indexação contratual formal e memória inflacionária pretérita.</w:t>
      </w:r>
    </w:p>
    <w:p>
      <w:pPr>
        <w:pStyle w:val="LO-normal"/>
        <w:spacing w:line="276" w:lineRule="auto" w:before="0" w:after="0"/>
        <w:ind w:firstLine="706"/>
        <w:jc w:val="both"/>
      </w:pPr>
      <w:r>
        <w:rPr>
          <w:rFonts w:ascii="Verdana" w:hAnsi="Verdana"/>
          <w:b/>
          <w:color w:val="212121"/>
          <w:sz w:val="18"/>
        </w:rPr>
        <w:t xml:space="preserve">O Banco Central e a Política Monetária: </w:t>
      </w:r>
      <w:r>
        <w:rPr>
          <w:rFonts w:ascii="Verdana" w:hAnsi="Verdana"/>
          <w:i w:val="0"/>
          <w:color w:val="212121"/>
          <w:sz w:val="18"/>
        </w:rPr>
        <w:t>A dinâmica da inflação conecta-se à arquitetura do Sistema Financeiro Nacional, onde o Conselho Monetário Nacional (CMN) estipula as metas anuais e o Banco Central do Brasil (BACEN) opera a taxa básica de juros (Selic) como mecanismo de estabilização [2, 3]. Quando o índice se desvia do centro da meta, o Comitê de Política Monetária (COPOM) eleva a Selic para desaquecer o consumo [3, 17]. O ponto crítico reside na existência de defasagens temporais de transmissão (transmission lags), que demandam entre 6 e 12 meses (dois a quatro trimestres) para produzir efeitos plenos sobre o consumo e investimentos, impondo a necessidade de modelos preditivos tempestivos [3, 17].</w:t>
      </w:r>
    </w:p>
    <w:p>
      <w:pPr>
        <w:pStyle w:val="Ttulo3"/>
        <w:keepNext/>
        <w:spacing w:before="200" w:after="60"/>
      </w:pPr>
      <w:r>
        <w:rPr>
          <w:rFonts w:ascii="Verdana" w:hAnsi="Verdana"/>
          <w:b/>
          <w:color w:val="002060"/>
          <w:sz w:val="22"/>
        </w:rPr>
        <w:t>2.2 Mineração de Dados em Séries Temporais</w:t>
      </w:r>
    </w:p>
    <w:p>
      <w:pPr>
        <w:pStyle w:val="LO-normal"/>
        <w:spacing w:line="276" w:lineRule="auto" w:before="0" w:after="0"/>
        <w:ind w:firstLine="706"/>
        <w:jc w:val="both"/>
      </w:pPr>
      <w:r>
        <w:rPr>
          <w:rFonts w:ascii="Verdana" w:hAnsi="Verdana"/>
          <w:i w:val="0"/>
          <w:color w:val="212121"/>
          <w:sz w:val="18"/>
        </w:rPr>
        <w:t>A Mineração de Dados em Séries Temporais (Time Series Data Mining) visa descobrir padrões estruturais, tendências latentes e dependências dinâmicas em dados sequenciais indexados cronologicamente [7, 9]. Séries macroeconômicas violam a premissa de observações independentes e identicamente distribuídas (i.i.d.), exigindo tratamento rigoroso de estacionariedade, quebras estruturais e ordenação temporal [7, 9].</w:t>
      </w:r>
    </w:p>
    <w:p>
      <w:pPr>
        <w:pStyle w:val="Ttulo3"/>
        <w:keepNext/>
        <w:spacing w:before="200" w:after="60"/>
      </w:pPr>
      <w:r>
        <w:rPr>
          <w:rFonts w:ascii="Verdana" w:hAnsi="Verdana"/>
          <w:b/>
          <w:color w:val="002060"/>
          <w:sz w:val="22"/>
        </w:rPr>
        <w:t>2.3 Trabalhos Relacionados e Análise de Diferenciais</w:t>
      </w:r>
    </w:p>
    <w:p>
      <w:pPr>
        <w:pStyle w:val="LO-normal"/>
        <w:spacing w:line="276" w:lineRule="auto" w:before="0" w:after="0"/>
        <w:ind w:firstLine="706"/>
        <w:jc w:val="both"/>
      </w:pPr>
      <w:r>
        <w:rPr>
          <w:rFonts w:ascii="Verdana" w:hAnsi="Verdana"/>
          <w:i w:val="0"/>
          <w:color w:val="212121"/>
          <w:sz w:val="18"/>
        </w:rPr>
        <w:t>A literatura contemporânea divide-se em abordagens univariadas clássicas Box-Jenkins [1, 9], vetores autorregressivos VAR/VECM [4] e algoritmos de Machine Learning de alta dimensionalidade [6, 14]. A Tabela 1 sintetiza a matriz comparativa de diferenciais.</w:t>
      </w:r>
    </w:p>
    <w:p>
      <w:pPr>
        <w:pStyle w:val="LO-normal"/>
        <w:keepNext/>
        <w:spacing w:before="160" w:after="40"/>
      </w:pPr>
      <w:r>
        <w:rPr>
          <w:rFonts w:ascii="Verdana" w:hAnsi="Verdana"/>
          <w:b/>
          <w:color w:val="002060"/>
          <w:sz w:val="19"/>
        </w:rPr>
        <w:t>Tabela 1 - Matriz Comparativa de Trabalhos Relacionados e Diferenciais Metodológicos</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DEEAF6"/>
            <w:tcBorders>
              <w:top w:sz="12" w:val="single" w:color="002060"/>
              <w:bottom w:sz="8" w:val="single" w:color="002060"/>
            </w:tcBorders>
          </w:tcPr>
          <w:p>
            <w:pPr>
              <w:jc w:val="center"/>
            </w:pPr>
            <w:r>
              <w:rPr>
                <w:rFonts w:ascii="Verdana" w:hAnsi="Verdana"/>
                <w:b/>
                <w:color w:val="002060"/>
                <w:sz w:val="15"/>
              </w:rPr>
              <w:t>Dimensão</w:t>
            </w:r>
          </w:p>
        </w:tc>
        <w:tc>
          <w:tcPr>
            <w:tcW w:type="dxa" w:w="1994"/>
            <w:shd w:fill="DEEAF6"/>
            <w:tcBorders>
              <w:top w:sz="12" w:val="single" w:color="002060"/>
              <w:bottom w:sz="8" w:val="single" w:color="002060"/>
            </w:tcBorders>
          </w:tcPr>
          <w:p>
            <w:pPr>
              <w:jc w:val="center"/>
            </w:pPr>
            <w:r>
              <w:rPr>
                <w:rFonts w:ascii="Verdana" w:hAnsi="Verdana"/>
                <w:b/>
                <w:color w:val="002060"/>
                <w:sz w:val="15"/>
              </w:rPr>
              <w:t>Box-Jenkins [1]</w:t>
            </w:r>
          </w:p>
        </w:tc>
        <w:tc>
          <w:tcPr>
            <w:tcW w:type="dxa" w:w="1994"/>
            <w:shd w:fill="DEEAF6"/>
            <w:tcBorders>
              <w:top w:sz="12" w:val="single" w:color="002060"/>
              <w:bottom w:sz="8" w:val="single" w:color="002060"/>
            </w:tcBorders>
          </w:tcPr>
          <w:p>
            <w:pPr>
              <w:jc w:val="center"/>
            </w:pPr>
            <w:r>
              <w:rPr>
                <w:rFonts w:ascii="Verdana" w:hAnsi="Verdana"/>
                <w:b/>
                <w:color w:val="002060"/>
                <w:sz w:val="15"/>
              </w:rPr>
              <w:t>VAR / VECM [4]</w:t>
            </w:r>
          </w:p>
        </w:tc>
        <w:tc>
          <w:tcPr>
            <w:tcW w:type="dxa" w:w="1994"/>
            <w:shd w:fill="DEEAF6"/>
            <w:tcBorders>
              <w:top w:sz="12" w:val="single" w:color="002060"/>
              <w:bottom w:sz="8" w:val="single" w:color="002060"/>
            </w:tcBorders>
          </w:tcPr>
          <w:p>
            <w:pPr>
              <w:jc w:val="center"/>
            </w:pPr>
            <w:r>
              <w:rPr>
                <w:rFonts w:ascii="Verdana" w:hAnsi="Verdana"/>
                <w:b/>
                <w:color w:val="002060"/>
                <w:sz w:val="15"/>
              </w:rPr>
              <w:t>Machine Learning [6,14]</w:t>
            </w:r>
          </w:p>
        </w:tc>
        <w:tc>
          <w:tcPr>
            <w:tcW w:type="dxa" w:w="1994"/>
            <w:shd w:fill="DEEAF6"/>
            <w:tcBorders>
              <w:top w:sz="12" w:val="single" w:color="002060"/>
              <w:bottom w:sz="8" w:val="single" w:color="002060"/>
            </w:tcBorders>
          </w:tcPr>
          <w:p>
            <w:pPr>
              <w:jc w:val="center"/>
            </w:pPr>
            <w:r>
              <w:rPr>
                <w:rFonts w:ascii="Verdana" w:hAnsi="Verdana"/>
                <w:b/>
                <w:color w:val="002060"/>
                <w:sz w:val="15"/>
              </w:rPr>
              <w:t>Híbrida Proposta</w:t>
            </w:r>
          </w:p>
        </w:tc>
      </w:tr>
      <w:tr>
        <w:tc>
          <w:tcPr>
            <w:tcW w:type="dxa" w:w="1994"/>
            <w:tcBorders/>
          </w:tcPr>
          <w:p>
            <w:pPr>
              <w:jc w:val="left"/>
            </w:pPr>
            <w:r>
              <w:rPr>
                <w:rFonts w:ascii="Verdana" w:hAnsi="Verdana"/>
                <w:sz w:val="14"/>
              </w:rPr>
              <w:t>Inércia Inflacionária</w:t>
            </w:r>
          </w:p>
        </w:tc>
        <w:tc>
          <w:tcPr>
            <w:tcW w:type="dxa" w:w="1994"/>
            <w:tcBorders/>
          </w:tcPr>
          <w:p>
            <w:pPr>
              <w:jc w:val="left"/>
            </w:pPr>
            <w:r>
              <w:rPr>
                <w:rFonts w:ascii="Verdana" w:hAnsi="Verdana"/>
                <w:sz w:val="14"/>
              </w:rPr>
              <w:t>Ótima (polinômios AR)</w:t>
            </w:r>
          </w:p>
        </w:tc>
        <w:tc>
          <w:tcPr>
            <w:tcW w:type="dxa" w:w="1994"/>
            <w:tcBorders/>
          </w:tcPr>
          <w:p>
            <w:pPr>
              <w:jc w:val="left"/>
            </w:pPr>
            <w:r>
              <w:rPr>
                <w:rFonts w:ascii="Verdana" w:hAnsi="Verdana"/>
                <w:sz w:val="14"/>
              </w:rPr>
              <w:t>Moderada (poucas defasagens)</w:t>
            </w:r>
          </w:p>
        </w:tc>
        <w:tc>
          <w:tcPr>
            <w:tcW w:type="dxa" w:w="1994"/>
            <w:tcBorders/>
          </w:tcPr>
          <w:p>
            <w:pPr>
              <w:jc w:val="left"/>
            </w:pPr>
            <w:r>
              <w:rPr>
                <w:rFonts w:ascii="Verdana" w:hAnsi="Verdana"/>
                <w:sz w:val="14"/>
              </w:rPr>
              <w:t>Baixa (não modela dependência pura)</w:t>
            </w:r>
          </w:p>
        </w:tc>
        <w:tc>
          <w:tcPr>
            <w:tcW w:type="dxa" w:w="1994"/>
            <w:tcBorders/>
            <w:shd w:fill="F2F6FB"/>
          </w:tcPr>
          <w:p>
            <w:pPr>
              <w:jc w:val="left"/>
            </w:pPr>
            <w:r>
              <w:rPr>
                <w:rFonts w:ascii="Verdana" w:hAnsi="Verdana"/>
                <w:b/>
                <w:sz w:val="14"/>
              </w:rPr>
              <w:t>Ótima (ARIMAX dedicado à inércia)</w:t>
            </w:r>
          </w:p>
        </w:tc>
      </w:tr>
      <w:tr>
        <w:tc>
          <w:tcPr>
            <w:tcW w:type="dxa" w:w="1994"/>
            <w:tcBorders/>
          </w:tcPr>
          <w:p>
            <w:pPr>
              <w:jc w:val="left"/>
            </w:pPr>
            <w:r>
              <w:rPr>
                <w:rFonts w:ascii="Verdana" w:hAnsi="Verdana"/>
                <w:sz w:val="14"/>
              </w:rPr>
              <w:t>Choques Não Lineares</w:t>
            </w:r>
          </w:p>
        </w:tc>
        <w:tc>
          <w:tcPr>
            <w:tcW w:type="dxa" w:w="1994"/>
            <w:tcBorders/>
          </w:tcPr>
          <w:p>
            <w:pPr>
              <w:jc w:val="left"/>
            </w:pPr>
            <w:r>
              <w:rPr>
                <w:rFonts w:ascii="Verdana" w:hAnsi="Verdana"/>
                <w:sz w:val="14"/>
              </w:rPr>
              <w:t>Incapaz de modelar quebras</w:t>
            </w:r>
          </w:p>
        </w:tc>
        <w:tc>
          <w:tcPr>
            <w:tcW w:type="dxa" w:w="1994"/>
            <w:tcBorders/>
          </w:tcPr>
          <w:p>
            <w:pPr>
              <w:jc w:val="left"/>
            </w:pPr>
            <w:r>
              <w:rPr>
                <w:rFonts w:ascii="Verdana" w:hAnsi="Verdana"/>
                <w:sz w:val="14"/>
              </w:rPr>
              <w:t>Modela não linearidades endógenas</w:t>
            </w:r>
          </w:p>
        </w:tc>
        <w:tc>
          <w:tcPr>
            <w:tcW w:type="dxa" w:w="1994"/>
            <w:tcBorders/>
          </w:tcPr>
          <w:p>
            <w:pPr>
              <w:jc w:val="left"/>
            </w:pPr>
            <w:r>
              <w:rPr>
                <w:rFonts w:ascii="Verdana" w:hAnsi="Verdana"/>
                <w:sz w:val="14"/>
              </w:rPr>
              <w:t>Captura não linearidades</w:t>
            </w:r>
          </w:p>
        </w:tc>
        <w:tc>
          <w:tcPr>
            <w:tcW w:type="dxa" w:w="1994"/>
            <w:tcBorders/>
            <w:shd w:fill="F2F6FB"/>
          </w:tcPr>
          <w:p>
            <w:pPr>
              <w:jc w:val="left"/>
            </w:pPr>
            <w:r>
              <w:rPr>
                <w:rFonts w:ascii="Verdana" w:hAnsi="Verdana"/>
                <w:b/>
                <w:sz w:val="14"/>
              </w:rPr>
              <w:t>ARIMAX ancora inércia; Random Forest absorve resíduos</w:t>
            </w:r>
          </w:p>
        </w:tc>
      </w:tr>
      <w:tr>
        <w:tc>
          <w:tcPr>
            <w:tcW w:type="dxa" w:w="1994"/>
            <w:tcBorders/>
          </w:tcPr>
          <w:p>
            <w:pPr>
              <w:jc w:val="left"/>
            </w:pPr>
            <w:r>
              <w:rPr>
                <w:rFonts w:ascii="Verdana" w:hAnsi="Verdana"/>
                <w:sz w:val="14"/>
              </w:rPr>
              <w:t>Espaço de Atributos</w:t>
            </w:r>
          </w:p>
        </w:tc>
        <w:tc>
          <w:tcPr>
            <w:tcW w:type="dxa" w:w="1994"/>
            <w:tcBorders/>
          </w:tcPr>
          <w:p>
            <w:pPr>
              <w:jc w:val="left"/>
            </w:pPr>
            <w:r>
              <w:rPr>
                <w:rFonts w:ascii="Verdana" w:hAnsi="Verdana"/>
                <w:sz w:val="14"/>
              </w:rPr>
              <w:t>Nulo (apenas defasagens)</w:t>
            </w:r>
          </w:p>
        </w:tc>
        <w:tc>
          <w:tcPr>
            <w:tcW w:type="dxa" w:w="1994"/>
            <w:tcBorders/>
          </w:tcPr>
          <w:p>
            <w:pPr>
              <w:jc w:val="left"/>
            </w:pPr>
            <w:r>
              <w:rPr>
                <w:rFonts w:ascii="Verdana" w:hAnsi="Verdana"/>
                <w:sz w:val="14"/>
              </w:rPr>
              <w:t>Pequeno porte (3 a 6 séries)</w:t>
            </w:r>
          </w:p>
        </w:tc>
        <w:tc>
          <w:tcPr>
            <w:tcW w:type="dxa" w:w="1994"/>
            <w:tcBorders/>
          </w:tcPr>
          <w:p>
            <w:pPr>
              <w:jc w:val="left"/>
            </w:pPr>
            <w:r>
              <w:rPr>
                <w:rFonts w:ascii="Verdana" w:hAnsi="Verdana"/>
                <w:sz w:val="14"/>
              </w:rPr>
              <w:t>Amplo painel (Lasso/Ridge)</w:t>
            </w:r>
          </w:p>
        </w:tc>
        <w:tc>
          <w:tcPr>
            <w:tcW w:type="dxa" w:w="1994"/>
            <w:tcBorders/>
            <w:shd w:fill="F2F6FB"/>
          </w:tcPr>
          <w:p>
            <w:pPr>
              <w:jc w:val="left"/>
            </w:pPr>
            <w:r>
              <w:rPr>
                <w:rFonts w:ascii="Verdana" w:hAnsi="Verdana"/>
                <w:b/>
                <w:sz w:val="14"/>
              </w:rPr>
              <w:t>29 covariáveis otimizadas via AG e PSO bioinspirados</w:t>
            </w:r>
          </w:p>
        </w:tc>
      </w:tr>
      <w:tr>
        <w:tc>
          <w:tcPr>
            <w:tcW w:type="dxa" w:w="1994"/>
            <w:tcBorders/>
          </w:tcPr>
          <w:p>
            <w:pPr>
              <w:jc w:val="left"/>
            </w:pPr>
            <w:r>
              <w:rPr>
                <w:rFonts w:ascii="Verdana" w:hAnsi="Verdana"/>
                <w:sz w:val="14"/>
              </w:rPr>
              <w:t>Vazamento Temporal</w:t>
            </w:r>
          </w:p>
        </w:tc>
        <w:tc>
          <w:tcPr>
            <w:tcW w:type="dxa" w:w="1994"/>
            <w:tcBorders/>
          </w:tcPr>
          <w:p>
            <w:pPr>
              <w:jc w:val="left"/>
            </w:pPr>
            <w:r>
              <w:rPr>
                <w:rFonts w:ascii="Verdana" w:hAnsi="Verdana"/>
                <w:sz w:val="14"/>
              </w:rPr>
              <w:t>Trivial (univariado)</w:t>
            </w:r>
          </w:p>
        </w:tc>
        <w:tc>
          <w:tcPr>
            <w:tcW w:type="dxa" w:w="1994"/>
            <w:tcBorders/>
          </w:tcPr>
          <w:p>
            <w:pPr>
              <w:jc w:val="left"/>
            </w:pPr>
            <w:r>
              <w:rPr>
                <w:rFonts w:ascii="Verdana" w:hAnsi="Verdana"/>
                <w:sz w:val="14"/>
              </w:rPr>
              <w:t>Moderado (revisões de séries)</w:t>
            </w:r>
          </w:p>
        </w:tc>
        <w:tc>
          <w:tcPr>
            <w:tcW w:type="dxa" w:w="1994"/>
            <w:tcBorders/>
          </w:tcPr>
          <w:p>
            <w:pPr>
              <w:jc w:val="left"/>
            </w:pPr>
            <w:r>
              <w:rPr>
                <w:rFonts w:ascii="Verdana" w:hAnsi="Verdana"/>
                <w:sz w:val="14"/>
              </w:rPr>
              <w:t>Crítico (requer janelas temporais)</w:t>
            </w:r>
          </w:p>
        </w:tc>
        <w:tc>
          <w:tcPr>
            <w:tcW w:type="dxa" w:w="1994"/>
            <w:tcBorders/>
            <w:shd w:fill="F2F6FB"/>
          </w:tcPr>
          <w:p>
            <w:pPr>
              <w:jc w:val="left"/>
            </w:pPr>
            <w:r>
              <w:rPr>
                <w:rFonts w:ascii="Verdana" w:hAnsi="Verdana"/>
                <w:b/>
                <w:sz w:val="14"/>
              </w:rPr>
              <w:t>Protocolo rigoroso de janelas deslizantes (rolling windows)</w:t>
            </w:r>
          </w:p>
        </w:tc>
      </w:tr>
      <w:tr>
        <w:tc>
          <w:tcPr>
            <w:tcW w:type="dxa" w:w="1994"/>
            <w:tcBorders>
              <w:bottom w:sz="12" w:val="single" w:color="002060"/>
            </w:tcBorders>
          </w:tcPr>
          <w:p>
            <w:pPr>
              <w:jc w:val="left"/>
            </w:pPr>
            <w:r>
              <w:rPr>
                <w:rFonts w:ascii="Verdana" w:hAnsi="Verdana"/>
                <w:sz w:val="14"/>
              </w:rPr>
              <w:t>Interpretabilidade</w:t>
            </w:r>
          </w:p>
        </w:tc>
        <w:tc>
          <w:tcPr>
            <w:tcW w:type="dxa" w:w="1994"/>
            <w:tcBorders>
              <w:bottom w:sz="12" w:val="single" w:color="002060"/>
            </w:tcBorders>
          </w:tcPr>
          <w:p>
            <w:pPr>
              <w:jc w:val="left"/>
            </w:pPr>
            <w:r>
              <w:rPr>
                <w:rFonts w:ascii="Verdana" w:hAnsi="Verdana"/>
                <w:sz w:val="14"/>
              </w:rPr>
              <w:t>Alta formal</w:t>
            </w:r>
          </w:p>
        </w:tc>
        <w:tc>
          <w:tcPr>
            <w:tcW w:type="dxa" w:w="1994"/>
            <w:tcBorders>
              <w:bottom w:sz="12" w:val="single" w:color="002060"/>
            </w:tcBorders>
          </w:tcPr>
          <w:p>
            <w:pPr>
              <w:jc w:val="left"/>
            </w:pPr>
            <w:r>
              <w:rPr>
                <w:rFonts w:ascii="Verdana" w:hAnsi="Verdana"/>
                <w:sz w:val="14"/>
              </w:rPr>
              <w:t>Alta coerência macroeconômica</w:t>
            </w:r>
          </w:p>
        </w:tc>
        <w:tc>
          <w:tcPr>
            <w:tcW w:type="dxa" w:w="1994"/>
            <w:tcBorders>
              <w:bottom w:sz="12" w:val="single" w:color="002060"/>
            </w:tcBorders>
          </w:tcPr>
          <w:p>
            <w:pPr>
              <w:jc w:val="left"/>
            </w:pPr>
            <w:r>
              <w:rPr>
                <w:rFonts w:ascii="Verdana" w:hAnsi="Verdana"/>
                <w:sz w:val="14"/>
              </w:rPr>
              <w:t>Caixa-preta</w:t>
            </w:r>
          </w:p>
        </w:tc>
        <w:tc>
          <w:tcPr>
            <w:tcW w:type="dxa" w:w="1994"/>
            <w:tcBorders>
              <w:bottom w:sz="12" w:val="single" w:color="002060"/>
            </w:tcBorders>
            <w:shd w:fill="F2F6FB"/>
          </w:tcPr>
          <w:p>
            <w:pPr>
              <w:jc w:val="left"/>
            </w:pPr>
            <w:r>
              <w:rPr>
                <w:rFonts w:ascii="Verdana" w:hAnsi="Verdana"/>
                <w:b/>
                <w:sz w:val="14"/>
              </w:rPr>
              <w:t>Alta transparência: linear + resíduo não linear</w:t>
            </w:r>
          </w:p>
        </w:tc>
      </w:tr>
    </w:tbl>
    <w:p>
      <w:pPr>
        <w:pStyle w:val="LO-normal"/>
        <w:spacing w:before="40" w:after="160"/>
      </w:pPr>
      <w:r>
        <w:rPr>
          <w:rFonts w:ascii="Verdana" w:hAnsi="Verdana"/>
          <w:color w:val="646464"/>
          <w:sz w:val="16"/>
        </w:rPr>
        <w:t>Fonte: Elaboração própria com base na literatura metodológica (2026).</w:t>
      </w:r>
    </w:p>
    <w:p>
      <w:pPr>
        <w:pStyle w:val="Ttulo2"/>
        <w:keepNext/>
        <w:spacing w:before="280" w:after="80"/>
      </w:pPr>
      <w:r>
        <w:rPr>
          <w:rFonts w:ascii="Verdana" w:hAnsi="Verdana"/>
          <w:b/>
          <w:color w:val="002060"/>
          <w:sz w:val="22"/>
        </w:rPr>
        <w:t>3 MATERIAIS E MÉTODOS</w:t>
      </w:r>
    </w:p>
    <w:p>
      <w:pPr>
        <w:pStyle w:val="LO-normal"/>
        <w:spacing w:line="276" w:lineRule="auto" w:before="0" w:after="0"/>
        <w:ind w:firstLine="706"/>
        <w:jc w:val="both"/>
      </w:pPr>
      <w:r>
        <w:rPr>
          <w:rFonts w:ascii="Verdana" w:hAnsi="Verdana"/>
          <w:i w:val="0"/>
          <w:color w:val="212121"/>
          <w:sz w:val="18"/>
        </w:rPr>
        <w:t>A metodologia adotada para o desenvolvimento deste trabalho articula-se em quatro fases fundamentais, estruturadas sob um fluxo estrito de engenharia de dados e modelagem estatística. A Figura 1 ilustra o fluxograma metodológico global do projeto, evidenciando as etapas executadas no presente marco e as atividades planejadas para a fase subsequente.</w:t>
      </w:r>
    </w:p>
    <w:p>
      <w:pPr>
        <w:pStyle w:val="LO-normal"/>
        <w:keepNext/>
        <w:spacing w:before="200" w:after="60"/>
        <w:jc w:val="center"/>
      </w:pPr>
      <w:r>
        <w:rPr>
          <w:rFonts w:ascii="Verdana" w:hAnsi="Verdana"/>
          <w:b/>
          <w:color w:val="002060"/>
          <w:sz w:val="19"/>
        </w:rPr>
        <w:t>Figura 1 – Fluxograma Metodológico do Pipeline de Mineração de Dados</w:t>
      </w:r>
    </w:p>
    <w:p>
      <w:pPr>
        <w:pStyle w:val="LO-normal"/>
        <w:keepNext/>
        <w:spacing w:before="0" w:after="40"/>
        <w:jc w:val="center"/>
      </w:pPr>
      <w:r>
        <w:drawing>
          <wp:inline xmlns:a="http://schemas.openxmlformats.org/drawingml/2006/main" xmlns:pic="http://schemas.openxmlformats.org/drawingml/2006/picture">
            <wp:extent cx="2926080" cy="1683728"/>
            <wp:docPr id="20" name="Picture 20"/>
            <wp:cNvGraphicFramePr>
              <a:graphicFrameLocks noChangeAspect="1"/>
            </wp:cNvGraphicFramePr>
            <a:graphic>
              <a:graphicData uri="http://schemas.openxmlformats.org/drawingml/2006/picture">
                <pic:pic>
                  <pic:nvPicPr>
                    <pic:cNvPr id="0" name="Figura_0_Fluxograma_Metodologia.png"/>
                    <pic:cNvPicPr/>
                  </pic:nvPicPr>
                  <pic:blipFill>
                    <a:blip r:embed="rId38"/>
                    <a:stretch>
                      <a:fillRect/>
                    </a:stretch>
                  </pic:blipFill>
                  <pic:spPr>
                    <a:xfrm>
                      <a:off x="0" y="0"/>
                      <a:ext cx="2926080" cy="1683728"/>
                    </a:xfrm>
                    <a:prstGeom prst="rect"/>
                  </pic:spPr>
                </pic:pic>
              </a:graphicData>
            </a:graphic>
          </wp:inline>
        </w:drawing>
      </w:r>
    </w:p>
    <w:p>
      <w:pPr>
        <w:pStyle w:val="LO-normal"/>
        <w:spacing w:before="20" w:after="160"/>
        <w:jc w:val="center"/>
      </w:pPr>
      <w:r>
        <w:rPr>
          <w:rFonts w:ascii="Verdana" w:hAnsi="Verdana"/>
          <w:color w:val="646464"/>
          <w:sz w:val="16"/>
        </w:rPr>
        <w:t>Fonte: Autores (2026).</w:t>
      </w:r>
    </w:p>
    <w:p>
      <w:pPr>
        <w:pStyle w:val="Ttulo3"/>
        <w:keepNext/>
        <w:spacing w:before="200" w:after="60"/>
      </w:pPr>
      <w:r>
        <w:rPr>
          <w:rFonts w:ascii="Verdana" w:hAnsi="Verdana"/>
          <w:b/>
          <w:color w:val="002060"/>
          <w:sz w:val="22"/>
        </w:rPr>
        <w:t>3.1 Stakeholders Envolvidos</w:t>
      </w:r>
    </w:p>
    <w:p>
      <w:pPr>
        <w:pStyle w:val="LO-normal"/>
        <w:spacing w:line="276" w:lineRule="auto" w:before="0" w:after="0"/>
        <w:ind w:firstLine="706"/>
        <w:jc w:val="both"/>
      </w:pPr>
      <w:r>
        <w:rPr>
          <w:rFonts w:ascii="Verdana" w:hAnsi="Verdana"/>
          <w:i w:val="0"/>
          <w:color w:val="212121"/>
          <w:sz w:val="18"/>
        </w:rPr>
        <w:t>A concepção deste pipeline integrou diretamente duas equipes especializadas com papéis complementares: (a) Equipe de Engenharia da Computação / Mineração de Dados da POLI-UPE, responsável pelo desenho da arquitetura computacional, extração automatizada via APIs públicas, higienização, tratamento matemático de valores ausentes, análise descritiva e desenho algorítmico da futura seleção bioinspirada de atributos; e (b) Especialistas de Domínio Econômico (Economistas), responsáveis pela validação conceitual das 29 variáveis macroeconômicas selecionadas, determinação dos canais de transmissão e defasagens da política monetária e parametrização dos regimes inflacionários nominais.</w:t>
      </w:r>
    </w:p>
    <w:p>
      <w:pPr>
        <w:pStyle w:val="Ttulo3"/>
        <w:keepNext/>
        <w:spacing w:before="200" w:after="60"/>
      </w:pPr>
      <w:r>
        <w:rPr>
          <w:rFonts w:ascii="Verdana" w:hAnsi="Verdana"/>
          <w:b/>
          <w:color w:val="002060"/>
          <w:sz w:val="22"/>
        </w:rPr>
        <w:t>3.2 Descrição da Base de Dados</w:t>
      </w:r>
    </w:p>
    <w:p>
      <w:pPr>
        <w:pStyle w:val="LO-normal"/>
        <w:spacing w:line="276" w:lineRule="auto" w:before="0" w:after="0"/>
        <w:ind w:firstLine="706"/>
        <w:jc w:val="both"/>
      </w:pPr>
      <w:r>
        <w:rPr>
          <w:rFonts w:ascii="Verdana" w:hAnsi="Verdana"/>
          <w:i w:val="0"/>
          <w:color w:val="212121"/>
          <w:sz w:val="18"/>
        </w:rPr>
        <w:t>A base empírica foi extraída diretamente do Sistema Gerenciador de Séries Temporais (SGS) do Banco Central do Brasil [2], agregando dados de IBGE, FGV, ANP, EPE e Ministério do Trabalho. O painel reúne 29 variáveis macroeconômicas contemplando: Preços ao Consumidor (IPCA Geral e 8 grupos setoriais), Índices de Atacado (INPC, IGP-M, IGP-DI, IPC-BR), Câmbio PTAX, Selic, Reservas Internacionais, Nível de Atividade (PIB Mensal, Ovos), Mercado de Trabalho (Desemprego, Salário Mínimo, Estoques de Emprego) e Oferta Energética (Refino de Petróleo, Gasolina, Carga Elétrica Comercial, Residencial e Total).</w:t>
      </w:r>
    </w:p>
    <w:p>
      <w:pPr>
        <w:pStyle w:val="LO-normal"/>
        <w:keepNext/>
        <w:spacing w:before="160" w:after="40"/>
      </w:pPr>
      <w:r>
        <w:rPr>
          <w:rFonts w:ascii="Verdana" w:hAnsi="Verdana"/>
          <w:b/>
          <w:color w:val="002060"/>
          <w:sz w:val="20"/>
        </w:rPr>
        <w:t>3.2.1 Delimitação Temporal e Justificativa Metodológica (2012 a 2026)</w:t>
      </w:r>
    </w:p>
    <w:p>
      <w:pPr>
        <w:pStyle w:val="LO-normal"/>
        <w:spacing w:line="276" w:lineRule="auto" w:before="0" w:after="0"/>
        <w:ind w:firstLine="706"/>
        <w:jc w:val="both"/>
      </w:pPr>
      <w:r>
        <w:rPr>
          <w:rFonts w:ascii="Verdana" w:hAnsi="Verdana"/>
          <w:i w:val="0"/>
          <w:color w:val="212121"/>
          <w:sz w:val="18"/>
        </w:rPr>
        <w:t>A delimitação cronológica do estudo compreende o horizonte contínuo de janeiro de 2012 a junho de 2026, totalizando 174 observações mensais contínuas. A definição do marco inicial em 2012 é metodologicamente necessária para assegurar a homogeneidade dos dados, uma vez que o IBGE introduziu naquele ano duas reformas estruturais profundas: a revisão da estrutura de ponderação da cesta do IPCA com base nos microdados da Pesquisa de Orçamentos Familiares (POF 2008-2009) e a substituição definitiva da antiga Pesquisa Mensal de Emprego (PME) pela Pesquisa Nacional por Amostra de Domicílios Contínua (PNAD Contínua).</w:t>
      </w:r>
    </w:p>
    <w:p>
      <w:pPr>
        <w:pStyle w:val="LO-normal"/>
        <w:spacing w:line="276" w:lineRule="auto" w:before="0" w:after="0"/>
        <w:ind w:firstLine="706"/>
        <w:jc w:val="both"/>
      </w:pPr>
      <w:r>
        <w:rPr>
          <w:rFonts w:ascii="Verdana" w:hAnsi="Verdana"/>
          <w:i w:val="0"/>
          <w:color w:val="212121"/>
          <w:sz w:val="18"/>
        </w:rPr>
        <w:t>A tentativa de retroagir a série temporal para períodos anteriores a 2012 introduziria quebras estruturais irreconciliáveis nos indicadores do mercado de trabalho e de desocupação, distorcendo os padrões estatísticos calculados pelos algoritmos de aprendizado. Por sua vez, a extensão do horizonte amostral até meados de 2026 garante a incorporação do ciclo econômico completo pós-pandemia, englobando as tensões inflacionárias decorrentes de gargalos nas cadeias produtivas globais, o choque energético internacional e as recentes flutuações das taxas de juros domésticas.</w:t>
      </w:r>
    </w:p>
    <w:p>
      <w:pPr>
        <w:pStyle w:val="Ttulo3"/>
        <w:keepNext/>
        <w:spacing w:before="200" w:after="60"/>
      </w:pPr>
      <w:r>
        <w:rPr>
          <w:rFonts w:ascii="Verdana" w:hAnsi="Verdana"/>
          <w:b/>
          <w:color w:val="002060"/>
          <w:sz w:val="22"/>
        </w:rPr>
        <w:t>3.3 Pré-processamento dos Dados</w:t>
      </w:r>
    </w:p>
    <w:p>
      <w:pPr>
        <w:pStyle w:val="LO-normal"/>
        <w:keepNext/>
        <w:spacing w:before="160" w:after="40"/>
      </w:pPr>
      <w:r>
        <w:rPr>
          <w:rFonts w:ascii="Verdana" w:hAnsi="Verdana"/>
          <w:b/>
          <w:color w:val="002060"/>
          <w:sz w:val="20"/>
        </w:rPr>
        <w:t>3.3.1 Procedimentos de Limpeza e Saneamento de Dados (Data Cleaning)</w:t>
      </w:r>
    </w:p>
    <w:p>
      <w:pPr>
        <w:pStyle w:val="LO-normal"/>
        <w:spacing w:line="276" w:lineRule="auto" w:before="0" w:after="0"/>
        <w:ind w:firstLine="706"/>
        <w:jc w:val="both"/>
      </w:pPr>
      <w:r>
        <w:rPr>
          <w:rFonts w:ascii="Verdana" w:hAnsi="Verdana"/>
          <w:i w:val="0"/>
          <w:color w:val="212121"/>
          <w:sz w:val="18"/>
        </w:rPr>
        <w:t>Três tratamentos cruciais foram implementados: (a) Sincronização cronológica com padronização no início do mês (Month-Start - MS); (b) Tratamento de zeros contábeis estruturais em bases administrativas (CAGED e EPE), convertendo zeros artificiais em dados ausentes (missing data); e (c) Imputação temporal causal sem vazamento de informação (zero data leakage), aplicando interpolação estritamente backward sobre dados passados.</w:t>
      </w:r>
    </w:p>
    <w:p>
      <w:pPr>
        <w:pStyle w:val="LO-normal"/>
        <w:keepNext/>
        <w:spacing w:before="160" w:after="40"/>
      </w:pPr>
      <w:r>
        <w:rPr>
          <w:rFonts w:ascii="Verdana" w:hAnsi="Verdana"/>
          <w:b/>
          <w:color w:val="002060"/>
          <w:sz w:val="20"/>
        </w:rPr>
        <w:t>3.3.2 Técnicas de Redução de Dados e Engenharia de Atributos</w:t>
      </w:r>
    </w:p>
    <w:p>
      <w:pPr>
        <w:pStyle w:val="LO-normal"/>
        <w:spacing w:line="276" w:lineRule="auto" w:before="0" w:after="0"/>
        <w:ind w:firstLine="706"/>
        <w:jc w:val="both"/>
      </w:pPr>
      <w:r>
        <w:rPr>
          <w:rFonts w:ascii="Verdana" w:hAnsi="Verdana"/>
          <w:i w:val="0"/>
          <w:color w:val="212121"/>
          <w:sz w:val="18"/>
        </w:rPr>
        <w:t>A sazonalidade foi capturada mediante transformações harmônicas contínuas no círculo trigonométrico: mes_sin = sin(2*pi*m/12) e mes_cos = cos(2*pi*m/12), preservando a proximidade cíclica entre dezembro e janeiro sem inflacionar a dimensionalidade com 11 dummies colineares.</w:t>
      </w:r>
    </w:p>
    <w:p>
      <w:pPr>
        <w:pStyle w:val="LO-normal"/>
        <w:keepNext/>
        <w:spacing w:before="160" w:after="40"/>
      </w:pPr>
      <w:r>
        <w:rPr>
          <w:rFonts w:ascii="Verdana" w:hAnsi="Verdana"/>
          <w:b/>
          <w:color w:val="002060"/>
          <w:sz w:val="20"/>
        </w:rPr>
        <w:t>3.3.3 Dicionário de Dados da Base Consolidada Pré-Processada</w:t>
      </w:r>
    </w:p>
    <w:p>
      <w:pPr>
        <w:pStyle w:val="LO-normal"/>
        <w:spacing w:line="276" w:lineRule="auto" w:before="0" w:after="0"/>
        <w:ind w:firstLine="706"/>
        <w:jc w:val="both"/>
      </w:pPr>
      <w:r>
        <w:rPr>
          <w:rFonts w:ascii="Verdana" w:hAnsi="Verdana"/>
          <w:i w:val="0"/>
          <w:color w:val="212121"/>
          <w:sz w:val="18"/>
        </w:rPr>
        <w:t>A Tabela 2 apresenta a síntese do dicionário técnico de dados do painel pré-processado consolidado.</w:t>
      </w:r>
    </w:p>
    <w:p>
      <w:pPr>
        <w:pStyle w:val="LO-normal"/>
        <w:keepNext/>
        <w:spacing w:before="160" w:after="40"/>
      </w:pPr>
      <w:r>
        <w:rPr>
          <w:rFonts w:ascii="Verdana" w:hAnsi="Verdana"/>
          <w:b/>
          <w:color w:val="002060"/>
          <w:sz w:val="19"/>
        </w:rPr>
        <w:t>Tabela 2 - Dicionário de Dados da Base Consolidada Pré-Processada (174 Meses, 2012–2026)</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DEEAF6"/>
            <w:tcBorders>
              <w:top w:sz="12" w:val="single" w:color="002060"/>
              <w:bottom w:sz="8" w:val="single" w:color="002060"/>
            </w:tcBorders>
          </w:tcPr>
          <w:p>
            <w:pPr>
              <w:jc w:val="center"/>
            </w:pPr>
            <w:r>
              <w:rPr>
                <w:rFonts w:ascii="Verdana" w:hAnsi="Verdana"/>
                <w:b/>
                <w:color w:val="002060"/>
                <w:sz w:val="14"/>
              </w:rPr>
              <w:t>Atributo</w:t>
            </w:r>
          </w:p>
        </w:tc>
        <w:tc>
          <w:tcPr>
            <w:tcW w:type="dxa" w:w="1994"/>
            <w:shd w:fill="DEEAF6"/>
            <w:tcBorders>
              <w:top w:sz="12" w:val="single" w:color="002060"/>
              <w:bottom w:sz="8" w:val="single" w:color="002060"/>
            </w:tcBorders>
          </w:tcPr>
          <w:p>
            <w:pPr>
              <w:jc w:val="center"/>
            </w:pPr>
            <w:r>
              <w:rPr>
                <w:rFonts w:ascii="Verdana" w:hAnsi="Verdana"/>
                <w:b/>
                <w:color w:val="002060"/>
                <w:sz w:val="14"/>
              </w:rPr>
              <w:t>Código / Fonte</w:t>
            </w:r>
          </w:p>
        </w:tc>
        <w:tc>
          <w:tcPr>
            <w:tcW w:type="dxa" w:w="1994"/>
            <w:shd w:fill="DEEAF6"/>
            <w:tcBorders>
              <w:top w:sz="12" w:val="single" w:color="002060"/>
              <w:bottom w:sz="8" w:val="single" w:color="002060"/>
            </w:tcBorders>
          </w:tcPr>
          <w:p>
            <w:pPr>
              <w:jc w:val="center"/>
            </w:pPr>
            <w:r>
              <w:rPr>
                <w:rFonts w:ascii="Verdana" w:hAnsi="Verdana"/>
                <w:b/>
                <w:color w:val="002060"/>
                <w:sz w:val="14"/>
              </w:rPr>
              <w:t>Tipo</w:t>
            </w:r>
          </w:p>
        </w:tc>
        <w:tc>
          <w:tcPr>
            <w:tcW w:type="dxa" w:w="1994"/>
            <w:shd w:fill="DEEAF6"/>
            <w:tcBorders>
              <w:top w:sz="12" w:val="single" w:color="002060"/>
              <w:bottom w:sz="8" w:val="single" w:color="002060"/>
            </w:tcBorders>
          </w:tcPr>
          <w:p>
            <w:pPr>
              <w:jc w:val="center"/>
            </w:pPr>
            <w:r>
              <w:rPr>
                <w:rFonts w:ascii="Verdana" w:hAnsi="Verdana"/>
                <w:b/>
                <w:color w:val="002060"/>
                <w:sz w:val="14"/>
              </w:rPr>
              <w:t>Tratamento</w:t>
            </w:r>
          </w:p>
        </w:tc>
        <w:tc>
          <w:tcPr>
            <w:tcW w:type="dxa" w:w="1994"/>
            <w:shd w:fill="DEEAF6"/>
            <w:tcBorders>
              <w:top w:sz="12" w:val="single" w:color="002060"/>
              <w:bottom w:sz="8" w:val="single" w:color="002060"/>
            </w:tcBorders>
          </w:tcPr>
          <w:p>
            <w:pPr>
              <w:jc w:val="center"/>
            </w:pPr>
            <w:r>
              <w:rPr>
                <w:rFonts w:ascii="Verdana" w:hAnsi="Verdana"/>
                <w:b/>
                <w:color w:val="002060"/>
                <w:sz w:val="14"/>
              </w:rPr>
              <w:t>Papel no Modelo Preditivo</w:t>
            </w:r>
          </w:p>
        </w:tc>
      </w:tr>
      <w:tr>
        <w:tc>
          <w:tcPr>
            <w:tcW w:type="dxa" w:w="1994"/>
            <w:tcBorders/>
          </w:tcPr>
          <w:p>
            <w:pPr>
              <w:jc w:val="left"/>
            </w:pPr>
            <w:r>
              <w:rPr>
                <w:rFonts w:ascii="Verdana" w:hAnsi="Verdana"/>
                <w:sz w:val="13"/>
              </w:rPr>
              <w:t>IPCA (Geral)</w:t>
            </w:r>
          </w:p>
        </w:tc>
        <w:tc>
          <w:tcPr>
            <w:tcW w:type="dxa" w:w="1994"/>
            <w:tcBorders/>
          </w:tcPr>
          <w:p>
            <w:pPr>
              <w:jc w:val="left"/>
            </w:pPr>
            <w:r>
              <w:rPr>
                <w:rFonts w:ascii="Verdana" w:hAnsi="Verdana"/>
                <w:sz w:val="13"/>
              </w:rPr>
              <w:t>SGS 433 (IBGE)</w:t>
            </w:r>
          </w:p>
        </w:tc>
        <w:tc>
          <w:tcPr>
            <w:tcW w:type="dxa" w:w="1994"/>
            <w:tcBorders/>
          </w:tcPr>
          <w:p>
            <w:pPr>
              <w:jc w:val="left"/>
            </w:pPr>
            <w:r>
              <w:rPr>
                <w:rFonts w:ascii="Verdana" w:hAnsi="Verdana"/>
                <w:sz w:val="13"/>
              </w:rPr>
              <w:t>Float64 (% a.m.)</w:t>
            </w:r>
          </w:p>
        </w:tc>
        <w:tc>
          <w:tcPr>
            <w:tcW w:type="dxa" w:w="1994"/>
            <w:tcBorders/>
          </w:tcPr>
          <w:p>
            <w:pPr>
              <w:jc w:val="left"/>
            </w:pPr>
            <w:r>
              <w:rPr>
                <w:rFonts w:ascii="Verdana" w:hAnsi="Verdana"/>
                <w:sz w:val="13"/>
              </w:rPr>
              <w:t>Sem nulos; sincronização MS</w:t>
            </w:r>
          </w:p>
        </w:tc>
        <w:tc>
          <w:tcPr>
            <w:tcW w:type="dxa" w:w="1994"/>
            <w:tcBorders/>
          </w:tcPr>
          <w:p>
            <w:pPr>
              <w:jc w:val="left"/>
            </w:pPr>
            <w:r>
              <w:rPr>
                <w:rFonts w:ascii="Verdana" w:hAnsi="Verdana"/>
                <w:sz w:val="13"/>
              </w:rPr>
              <w:t>Variável dependente contínua (alvo preditivo).</w:t>
            </w:r>
          </w:p>
        </w:tc>
      </w:tr>
      <w:tr>
        <w:tc>
          <w:tcPr>
            <w:tcW w:type="dxa" w:w="1994"/>
            <w:tcBorders/>
          </w:tcPr>
          <w:p>
            <w:pPr>
              <w:jc w:val="left"/>
            </w:pPr>
            <w:r>
              <w:rPr>
                <w:rFonts w:ascii="Verdana" w:hAnsi="Verdana"/>
                <w:sz w:val="13"/>
              </w:rPr>
              <w:t>IPCA_Alimentos</w:t>
            </w:r>
          </w:p>
        </w:tc>
        <w:tc>
          <w:tcPr>
            <w:tcW w:type="dxa" w:w="1994"/>
            <w:tcBorders/>
          </w:tcPr>
          <w:p>
            <w:pPr>
              <w:jc w:val="left"/>
            </w:pPr>
            <w:r>
              <w:rPr>
                <w:rFonts w:ascii="Verdana" w:hAnsi="Verdana"/>
                <w:sz w:val="13"/>
              </w:rPr>
              <w:t>SGS 1635 (IBGE)</w:t>
            </w:r>
          </w:p>
        </w:tc>
        <w:tc>
          <w:tcPr>
            <w:tcW w:type="dxa" w:w="1994"/>
            <w:tcBorders/>
          </w:tcPr>
          <w:p>
            <w:pPr>
              <w:jc w:val="left"/>
            </w:pPr>
            <w:r>
              <w:rPr>
                <w:rFonts w:ascii="Verdana" w:hAnsi="Verdana"/>
                <w:sz w:val="13"/>
              </w:rPr>
              <w:t>Float64 (% a.m.)</w:t>
            </w:r>
          </w:p>
        </w:tc>
        <w:tc>
          <w:tcPr>
            <w:tcW w:type="dxa" w:w="1994"/>
            <w:tcBorders/>
          </w:tcPr>
          <w:p>
            <w:pPr>
              <w:jc w:val="left"/>
            </w:pPr>
            <w:r>
              <w:rPr>
                <w:rFonts w:ascii="Verdana" w:hAnsi="Verdana"/>
                <w:sz w:val="13"/>
              </w:rPr>
              <w:t>Sincronização MS; interpolação causal</w:t>
            </w:r>
          </w:p>
        </w:tc>
        <w:tc>
          <w:tcPr>
            <w:tcW w:type="dxa" w:w="1994"/>
            <w:tcBorders/>
          </w:tcPr>
          <w:p>
            <w:pPr>
              <w:jc w:val="left"/>
            </w:pPr>
            <w:r>
              <w:rPr>
                <w:rFonts w:ascii="Verdana" w:hAnsi="Verdana"/>
                <w:sz w:val="13"/>
              </w:rPr>
              <w:t>Covariável exógena - Choques climáticos e oferta agrícola.</w:t>
            </w:r>
          </w:p>
        </w:tc>
      </w:tr>
      <w:tr>
        <w:tc>
          <w:tcPr>
            <w:tcW w:type="dxa" w:w="1994"/>
            <w:tcBorders/>
          </w:tcPr>
          <w:p>
            <w:pPr>
              <w:jc w:val="left"/>
            </w:pPr>
            <w:r>
              <w:rPr>
                <w:rFonts w:ascii="Verdana" w:hAnsi="Verdana"/>
                <w:sz w:val="13"/>
              </w:rPr>
              <w:t>IPCA_Habitacao</w:t>
            </w:r>
          </w:p>
        </w:tc>
        <w:tc>
          <w:tcPr>
            <w:tcW w:type="dxa" w:w="1994"/>
            <w:tcBorders/>
          </w:tcPr>
          <w:p>
            <w:pPr>
              <w:jc w:val="left"/>
            </w:pPr>
            <w:r>
              <w:rPr>
                <w:rFonts w:ascii="Verdana" w:hAnsi="Verdana"/>
                <w:sz w:val="13"/>
              </w:rPr>
              <w:t>SGS 1636 (IBGE)</w:t>
            </w:r>
          </w:p>
        </w:tc>
        <w:tc>
          <w:tcPr>
            <w:tcW w:type="dxa" w:w="1994"/>
            <w:tcBorders/>
          </w:tcPr>
          <w:p>
            <w:pPr>
              <w:jc w:val="left"/>
            </w:pPr>
            <w:r>
              <w:rPr>
                <w:rFonts w:ascii="Verdana" w:hAnsi="Verdana"/>
                <w:sz w:val="13"/>
              </w:rPr>
              <w:t>Float64 (% a.m.)</w:t>
            </w:r>
          </w:p>
        </w:tc>
        <w:tc>
          <w:tcPr>
            <w:tcW w:type="dxa" w:w="1994"/>
            <w:tcBorders/>
          </w:tcPr>
          <w:p>
            <w:pPr>
              <w:jc w:val="left"/>
            </w:pPr>
            <w:r>
              <w:rPr>
                <w:rFonts w:ascii="Verdana" w:hAnsi="Verdana"/>
                <w:sz w:val="13"/>
              </w:rPr>
              <w:t>Alinhamento mensal; verificação</w:t>
            </w:r>
          </w:p>
        </w:tc>
        <w:tc>
          <w:tcPr>
            <w:tcW w:type="dxa" w:w="1994"/>
            <w:tcBorders/>
          </w:tcPr>
          <w:p>
            <w:pPr>
              <w:jc w:val="left"/>
            </w:pPr>
            <w:r>
              <w:rPr>
                <w:rFonts w:ascii="Verdana" w:hAnsi="Verdana"/>
                <w:sz w:val="13"/>
              </w:rPr>
              <w:t>Covariável exógena - Tarifas reguladas de energia e aluguéis.</w:t>
            </w:r>
          </w:p>
        </w:tc>
      </w:tr>
      <w:tr>
        <w:tc>
          <w:tcPr>
            <w:tcW w:type="dxa" w:w="1994"/>
            <w:tcBorders/>
          </w:tcPr>
          <w:p>
            <w:pPr>
              <w:jc w:val="left"/>
            </w:pPr>
            <w:r>
              <w:rPr>
                <w:rFonts w:ascii="Verdana" w:hAnsi="Verdana"/>
                <w:sz w:val="13"/>
              </w:rPr>
              <w:t>IPCA_Transportes</w:t>
            </w:r>
          </w:p>
        </w:tc>
        <w:tc>
          <w:tcPr>
            <w:tcW w:type="dxa" w:w="1994"/>
            <w:tcBorders/>
          </w:tcPr>
          <w:p>
            <w:pPr>
              <w:jc w:val="left"/>
            </w:pPr>
            <w:r>
              <w:rPr>
                <w:rFonts w:ascii="Verdana" w:hAnsi="Verdana"/>
                <w:sz w:val="13"/>
              </w:rPr>
              <w:t>SGS 1639 (IBGE)</w:t>
            </w:r>
          </w:p>
        </w:tc>
        <w:tc>
          <w:tcPr>
            <w:tcW w:type="dxa" w:w="1994"/>
            <w:tcBorders/>
          </w:tcPr>
          <w:p>
            <w:pPr>
              <w:jc w:val="left"/>
            </w:pPr>
            <w:r>
              <w:rPr>
                <w:rFonts w:ascii="Verdana" w:hAnsi="Verdana"/>
                <w:sz w:val="13"/>
              </w:rPr>
              <w:t>Float64 (% a.m.)</w:t>
            </w:r>
          </w:p>
        </w:tc>
        <w:tc>
          <w:tcPr>
            <w:tcW w:type="dxa" w:w="1994"/>
            <w:tcBorders/>
          </w:tcPr>
          <w:p>
            <w:pPr>
              <w:jc w:val="left"/>
            </w:pPr>
            <w:r>
              <w:rPr>
                <w:rFonts w:ascii="Verdana" w:hAnsi="Verdana"/>
                <w:sz w:val="13"/>
              </w:rPr>
              <w:t>Sincronização MS; higienização</w:t>
            </w:r>
          </w:p>
        </w:tc>
        <w:tc>
          <w:tcPr>
            <w:tcW w:type="dxa" w:w="1994"/>
            <w:tcBorders/>
          </w:tcPr>
          <w:p>
            <w:pPr>
              <w:jc w:val="left"/>
            </w:pPr>
            <w:r>
              <w:rPr>
                <w:rFonts w:ascii="Verdana" w:hAnsi="Verdana"/>
                <w:sz w:val="13"/>
              </w:rPr>
              <w:t>Covariável exógena - Sensibilidade a combustíveis e passagens.</w:t>
            </w:r>
          </w:p>
        </w:tc>
      </w:tr>
      <w:tr>
        <w:tc>
          <w:tcPr>
            <w:tcW w:type="dxa" w:w="1994"/>
            <w:tcBorders/>
          </w:tcPr>
          <w:p>
            <w:pPr>
              <w:jc w:val="left"/>
            </w:pPr>
            <w:r>
              <w:rPr>
                <w:rFonts w:ascii="Verdana" w:hAnsi="Verdana"/>
                <w:sz w:val="13"/>
              </w:rPr>
              <w:t>USDBRL (PTAX)</w:t>
            </w:r>
          </w:p>
        </w:tc>
        <w:tc>
          <w:tcPr>
            <w:tcW w:type="dxa" w:w="1994"/>
            <w:tcBorders/>
          </w:tcPr>
          <w:p>
            <w:pPr>
              <w:jc w:val="left"/>
            </w:pPr>
            <w:r>
              <w:rPr>
                <w:rFonts w:ascii="Verdana" w:hAnsi="Verdana"/>
                <w:sz w:val="13"/>
              </w:rPr>
              <w:t>SGS 3696 (BACEN)</w:t>
            </w:r>
          </w:p>
        </w:tc>
        <w:tc>
          <w:tcPr>
            <w:tcW w:type="dxa" w:w="1994"/>
            <w:tcBorders/>
          </w:tcPr>
          <w:p>
            <w:pPr>
              <w:jc w:val="left"/>
            </w:pPr>
            <w:r>
              <w:rPr>
                <w:rFonts w:ascii="Verdana" w:hAnsi="Verdana"/>
                <w:sz w:val="13"/>
              </w:rPr>
              <w:t>Float64 (R$/US$)</w:t>
            </w:r>
          </w:p>
        </w:tc>
        <w:tc>
          <w:tcPr>
            <w:tcW w:type="dxa" w:w="1994"/>
            <w:tcBorders/>
          </w:tcPr>
          <w:p>
            <w:pPr>
              <w:jc w:val="left"/>
            </w:pPr>
            <w:r>
              <w:rPr>
                <w:rFonts w:ascii="Verdana" w:hAnsi="Verdana"/>
                <w:sz w:val="13"/>
              </w:rPr>
              <w:t>Conversão diária para média mensal útil</w:t>
            </w:r>
          </w:p>
        </w:tc>
        <w:tc>
          <w:tcPr>
            <w:tcW w:type="dxa" w:w="1994"/>
            <w:tcBorders/>
          </w:tcPr>
          <w:p>
            <w:pPr>
              <w:jc w:val="left"/>
            </w:pPr>
            <w:r>
              <w:rPr>
                <w:rFonts w:ascii="Verdana" w:hAnsi="Verdana"/>
                <w:sz w:val="13"/>
              </w:rPr>
              <w:t>Covariável exógena - Mecanismo de pass-through cambial.</w:t>
            </w:r>
          </w:p>
        </w:tc>
      </w:tr>
      <w:tr>
        <w:tc>
          <w:tcPr>
            <w:tcW w:type="dxa" w:w="1994"/>
            <w:tcBorders/>
          </w:tcPr>
          <w:p>
            <w:pPr>
              <w:jc w:val="left"/>
            </w:pPr>
            <w:r>
              <w:rPr>
                <w:rFonts w:ascii="Verdana" w:hAnsi="Verdana"/>
                <w:sz w:val="13"/>
              </w:rPr>
              <w:t>SELIC</w:t>
            </w:r>
          </w:p>
        </w:tc>
        <w:tc>
          <w:tcPr>
            <w:tcW w:type="dxa" w:w="1994"/>
            <w:tcBorders/>
          </w:tcPr>
          <w:p>
            <w:pPr>
              <w:jc w:val="left"/>
            </w:pPr>
            <w:r>
              <w:rPr>
                <w:rFonts w:ascii="Verdana" w:hAnsi="Verdana"/>
                <w:sz w:val="13"/>
              </w:rPr>
              <w:t>SGS 4390 (BACEN)</w:t>
            </w:r>
          </w:p>
        </w:tc>
        <w:tc>
          <w:tcPr>
            <w:tcW w:type="dxa" w:w="1994"/>
            <w:tcBorders/>
          </w:tcPr>
          <w:p>
            <w:pPr>
              <w:jc w:val="left"/>
            </w:pPr>
            <w:r>
              <w:rPr>
                <w:rFonts w:ascii="Verdana" w:hAnsi="Verdana"/>
                <w:sz w:val="13"/>
              </w:rPr>
              <w:t>Float64 (% a.m.)</w:t>
            </w:r>
          </w:p>
        </w:tc>
        <w:tc>
          <w:tcPr>
            <w:tcW w:type="dxa" w:w="1994"/>
            <w:tcBorders/>
          </w:tcPr>
          <w:p>
            <w:pPr>
              <w:jc w:val="left"/>
            </w:pPr>
            <w:r>
              <w:rPr>
                <w:rFonts w:ascii="Verdana" w:hAnsi="Verdana"/>
                <w:sz w:val="13"/>
              </w:rPr>
              <w:t>Média mensalizada de dias úteis</w:t>
            </w:r>
          </w:p>
        </w:tc>
        <w:tc>
          <w:tcPr>
            <w:tcW w:type="dxa" w:w="1994"/>
            <w:tcBorders/>
          </w:tcPr>
          <w:p>
            <w:pPr>
              <w:jc w:val="left"/>
            </w:pPr>
            <w:r>
              <w:rPr>
                <w:rFonts w:ascii="Verdana" w:hAnsi="Verdana"/>
                <w:sz w:val="13"/>
              </w:rPr>
              <w:t>Covariável exógena - Taxa básica de juros do COPOM.</w:t>
            </w:r>
          </w:p>
        </w:tc>
      </w:tr>
      <w:tr>
        <w:tc>
          <w:tcPr>
            <w:tcW w:type="dxa" w:w="1994"/>
            <w:tcBorders/>
          </w:tcPr>
          <w:p>
            <w:pPr>
              <w:jc w:val="left"/>
            </w:pPr>
            <w:r>
              <w:rPr>
                <w:rFonts w:ascii="Verdana" w:hAnsi="Verdana"/>
                <w:sz w:val="13"/>
              </w:rPr>
              <w:t>Reservas_Internac.</w:t>
            </w:r>
          </w:p>
        </w:tc>
        <w:tc>
          <w:tcPr>
            <w:tcW w:type="dxa" w:w="1994"/>
            <w:tcBorders/>
          </w:tcPr>
          <w:p>
            <w:pPr>
              <w:jc w:val="left"/>
            </w:pPr>
            <w:r>
              <w:rPr>
                <w:rFonts w:ascii="Verdana" w:hAnsi="Verdana"/>
                <w:sz w:val="13"/>
              </w:rPr>
              <w:t>SGS 3546 (BACEN)</w:t>
            </w:r>
          </w:p>
        </w:tc>
        <w:tc>
          <w:tcPr>
            <w:tcW w:type="dxa" w:w="1994"/>
            <w:tcBorders/>
          </w:tcPr>
          <w:p>
            <w:pPr>
              <w:jc w:val="left"/>
            </w:pPr>
            <w:r>
              <w:rPr>
                <w:rFonts w:ascii="Verdana" w:hAnsi="Verdana"/>
                <w:sz w:val="13"/>
              </w:rPr>
              <w:t>Float64 (US$ Mi)</w:t>
            </w:r>
          </w:p>
        </w:tc>
        <w:tc>
          <w:tcPr>
            <w:tcW w:type="dxa" w:w="1994"/>
            <w:tcBorders/>
          </w:tcPr>
          <w:p>
            <w:pPr>
              <w:jc w:val="left"/>
            </w:pPr>
            <w:r>
              <w:rPr>
                <w:rFonts w:ascii="Verdana" w:hAnsi="Verdana"/>
                <w:sz w:val="13"/>
              </w:rPr>
              <w:t>Alinhamento MS; saneamento de lacunas</w:t>
            </w:r>
          </w:p>
        </w:tc>
        <w:tc>
          <w:tcPr>
            <w:tcW w:type="dxa" w:w="1994"/>
            <w:tcBorders/>
          </w:tcPr>
          <w:p>
            <w:pPr>
              <w:jc w:val="left"/>
            </w:pPr>
            <w:r>
              <w:rPr>
                <w:rFonts w:ascii="Verdana" w:hAnsi="Verdana"/>
                <w:sz w:val="13"/>
              </w:rPr>
              <w:t>Covariável exógena - Liquidez externa e blindagem.</w:t>
            </w:r>
          </w:p>
        </w:tc>
      </w:tr>
      <w:tr>
        <w:tc>
          <w:tcPr>
            <w:tcW w:type="dxa" w:w="1994"/>
            <w:tcBorders/>
          </w:tcPr>
          <w:p>
            <w:pPr>
              <w:jc w:val="left"/>
            </w:pPr>
            <w:r>
              <w:rPr>
                <w:rFonts w:ascii="Verdana" w:hAnsi="Verdana"/>
                <w:sz w:val="13"/>
              </w:rPr>
              <w:t>IGP_M</w:t>
            </w:r>
          </w:p>
        </w:tc>
        <w:tc>
          <w:tcPr>
            <w:tcW w:type="dxa" w:w="1994"/>
            <w:tcBorders/>
          </w:tcPr>
          <w:p>
            <w:pPr>
              <w:jc w:val="left"/>
            </w:pPr>
            <w:r>
              <w:rPr>
                <w:rFonts w:ascii="Verdana" w:hAnsi="Verdana"/>
                <w:sz w:val="13"/>
              </w:rPr>
              <w:t>SGS 189 (FGV)</w:t>
            </w:r>
          </w:p>
        </w:tc>
        <w:tc>
          <w:tcPr>
            <w:tcW w:type="dxa" w:w="1994"/>
            <w:tcBorders/>
          </w:tcPr>
          <w:p>
            <w:pPr>
              <w:jc w:val="left"/>
            </w:pPr>
            <w:r>
              <w:rPr>
                <w:rFonts w:ascii="Verdana" w:hAnsi="Verdana"/>
                <w:sz w:val="13"/>
              </w:rPr>
              <w:t>Float64 (% a.m.)</w:t>
            </w:r>
          </w:p>
        </w:tc>
        <w:tc>
          <w:tcPr>
            <w:tcW w:type="dxa" w:w="1994"/>
            <w:tcBorders/>
          </w:tcPr>
          <w:p>
            <w:pPr>
              <w:jc w:val="left"/>
            </w:pPr>
            <w:r>
              <w:rPr>
                <w:rFonts w:ascii="Verdana" w:hAnsi="Verdana"/>
                <w:sz w:val="13"/>
              </w:rPr>
              <w:t>Sincronização de competência MS</w:t>
            </w:r>
          </w:p>
        </w:tc>
        <w:tc>
          <w:tcPr>
            <w:tcW w:type="dxa" w:w="1994"/>
            <w:tcBorders/>
          </w:tcPr>
          <w:p>
            <w:pPr>
              <w:jc w:val="left"/>
            </w:pPr>
            <w:r>
              <w:rPr>
                <w:rFonts w:ascii="Verdana" w:hAnsi="Verdana"/>
                <w:sz w:val="13"/>
              </w:rPr>
              <w:t>Covariável exógena - Indicador antecedente no atacado.</w:t>
            </w:r>
          </w:p>
        </w:tc>
      </w:tr>
      <w:tr>
        <w:tc>
          <w:tcPr>
            <w:tcW w:type="dxa" w:w="1994"/>
            <w:tcBorders/>
          </w:tcPr>
          <w:p>
            <w:pPr>
              <w:jc w:val="left"/>
            </w:pPr>
            <w:r>
              <w:rPr>
                <w:rFonts w:ascii="Verdana" w:hAnsi="Verdana"/>
                <w:sz w:val="13"/>
              </w:rPr>
              <w:t>PIB_Mensal</w:t>
            </w:r>
          </w:p>
        </w:tc>
        <w:tc>
          <w:tcPr>
            <w:tcW w:type="dxa" w:w="1994"/>
            <w:tcBorders/>
          </w:tcPr>
          <w:p>
            <w:pPr>
              <w:jc w:val="left"/>
            </w:pPr>
            <w:r>
              <w:rPr>
                <w:rFonts w:ascii="Verdana" w:hAnsi="Verdana"/>
                <w:sz w:val="13"/>
              </w:rPr>
              <w:t>SGS 4380 (BACEN)</w:t>
            </w:r>
          </w:p>
        </w:tc>
        <w:tc>
          <w:tcPr>
            <w:tcW w:type="dxa" w:w="1994"/>
            <w:tcBorders/>
          </w:tcPr>
          <w:p>
            <w:pPr>
              <w:jc w:val="left"/>
            </w:pPr>
            <w:r>
              <w:rPr>
                <w:rFonts w:ascii="Verdana" w:hAnsi="Verdana"/>
                <w:sz w:val="13"/>
              </w:rPr>
              <w:t>Float64 (R$ Mi)</w:t>
            </w:r>
          </w:p>
        </w:tc>
        <w:tc>
          <w:tcPr>
            <w:tcW w:type="dxa" w:w="1994"/>
            <w:tcBorders/>
          </w:tcPr>
          <w:p>
            <w:pPr>
              <w:jc w:val="left"/>
            </w:pPr>
            <w:r>
              <w:rPr>
                <w:rFonts w:ascii="Verdana" w:hAnsi="Verdana"/>
                <w:sz w:val="13"/>
              </w:rPr>
              <w:t>Tratamento de atrasos de divulgação</w:t>
            </w:r>
          </w:p>
        </w:tc>
        <w:tc>
          <w:tcPr>
            <w:tcW w:type="dxa" w:w="1994"/>
            <w:tcBorders/>
          </w:tcPr>
          <w:p>
            <w:pPr>
              <w:jc w:val="left"/>
            </w:pPr>
            <w:r>
              <w:rPr>
                <w:rFonts w:ascii="Verdana" w:hAnsi="Verdana"/>
                <w:sz w:val="13"/>
              </w:rPr>
              <w:t>Covariável exógena - Proxy de atividade agregada.</w:t>
            </w:r>
          </w:p>
        </w:tc>
      </w:tr>
      <w:tr>
        <w:tc>
          <w:tcPr>
            <w:tcW w:type="dxa" w:w="1994"/>
            <w:tcBorders/>
          </w:tcPr>
          <w:p>
            <w:pPr>
              <w:jc w:val="left"/>
            </w:pPr>
            <w:r>
              <w:rPr>
                <w:rFonts w:ascii="Verdana" w:hAnsi="Verdana"/>
                <w:sz w:val="13"/>
              </w:rPr>
              <w:t>Desemprego (PNAD)</w:t>
            </w:r>
          </w:p>
        </w:tc>
        <w:tc>
          <w:tcPr>
            <w:tcW w:type="dxa" w:w="1994"/>
            <w:tcBorders/>
          </w:tcPr>
          <w:p>
            <w:pPr>
              <w:jc w:val="left"/>
            </w:pPr>
            <w:r>
              <w:rPr>
                <w:rFonts w:ascii="Verdana" w:hAnsi="Verdana"/>
                <w:sz w:val="13"/>
              </w:rPr>
              <w:t>SGS 24369 (IBGE)</w:t>
            </w:r>
          </w:p>
        </w:tc>
        <w:tc>
          <w:tcPr>
            <w:tcW w:type="dxa" w:w="1994"/>
            <w:tcBorders/>
          </w:tcPr>
          <w:p>
            <w:pPr>
              <w:jc w:val="left"/>
            </w:pPr>
            <w:r>
              <w:rPr>
                <w:rFonts w:ascii="Verdana" w:hAnsi="Verdana"/>
                <w:sz w:val="13"/>
              </w:rPr>
              <w:t>Float64 (% PEA)</w:t>
            </w:r>
          </w:p>
        </w:tc>
        <w:tc>
          <w:tcPr>
            <w:tcW w:type="dxa" w:w="1994"/>
            <w:tcBorders/>
          </w:tcPr>
          <w:p>
            <w:pPr>
              <w:jc w:val="left"/>
            </w:pPr>
            <w:r>
              <w:rPr>
                <w:rFonts w:ascii="Verdana" w:hAnsi="Verdana"/>
                <w:sz w:val="13"/>
              </w:rPr>
              <w:t>Truncamento pós-2012; interpolação</w:t>
            </w:r>
          </w:p>
        </w:tc>
        <w:tc>
          <w:tcPr>
            <w:tcW w:type="dxa" w:w="1994"/>
            <w:tcBorders/>
          </w:tcPr>
          <w:p>
            <w:pPr>
              <w:jc w:val="left"/>
            </w:pPr>
            <w:r>
              <w:rPr>
                <w:rFonts w:ascii="Verdana" w:hAnsi="Verdana"/>
                <w:sz w:val="13"/>
              </w:rPr>
              <w:t>Covariável exógena - Dinâmica da desocupação (Curva de Phillips).</w:t>
            </w:r>
          </w:p>
        </w:tc>
      </w:tr>
      <w:tr>
        <w:tc>
          <w:tcPr>
            <w:tcW w:type="dxa" w:w="1994"/>
            <w:tcBorders/>
          </w:tcPr>
          <w:p>
            <w:pPr>
              <w:jc w:val="left"/>
            </w:pPr>
            <w:r>
              <w:rPr>
                <w:rFonts w:ascii="Verdana" w:hAnsi="Verdana"/>
                <w:sz w:val="13"/>
              </w:rPr>
              <w:t>Estoque_Empregos</w:t>
            </w:r>
          </w:p>
        </w:tc>
        <w:tc>
          <w:tcPr>
            <w:tcW w:type="dxa" w:w="1994"/>
            <w:tcBorders/>
          </w:tcPr>
          <w:p>
            <w:pPr>
              <w:jc w:val="left"/>
            </w:pPr>
            <w:r>
              <w:rPr>
                <w:rFonts w:ascii="Verdana" w:hAnsi="Verdana"/>
                <w:sz w:val="13"/>
              </w:rPr>
              <w:t>SGS 28763 (CAGED)</w:t>
            </w:r>
          </w:p>
        </w:tc>
        <w:tc>
          <w:tcPr>
            <w:tcW w:type="dxa" w:w="1994"/>
            <w:tcBorders/>
          </w:tcPr>
          <w:p>
            <w:pPr>
              <w:jc w:val="left"/>
            </w:pPr>
            <w:r>
              <w:rPr>
                <w:rFonts w:ascii="Verdana" w:hAnsi="Verdana"/>
                <w:sz w:val="13"/>
              </w:rPr>
              <w:t>Float64 (Mil vínc.)</w:t>
            </w:r>
          </w:p>
        </w:tc>
        <w:tc>
          <w:tcPr>
            <w:tcW w:type="dxa" w:w="1994"/>
            <w:tcBorders/>
          </w:tcPr>
          <w:p>
            <w:pPr>
              <w:jc w:val="left"/>
            </w:pPr>
            <w:r>
              <w:rPr>
                <w:rFonts w:ascii="Verdana" w:hAnsi="Verdana"/>
                <w:sz w:val="13"/>
              </w:rPr>
              <w:t>Zeros tratados como ausentes; imputação</w:t>
            </w:r>
          </w:p>
        </w:tc>
        <w:tc>
          <w:tcPr>
            <w:tcW w:type="dxa" w:w="1994"/>
            <w:tcBorders/>
          </w:tcPr>
          <w:p>
            <w:pPr>
              <w:jc w:val="left"/>
            </w:pPr>
            <w:r>
              <w:rPr>
                <w:rFonts w:ascii="Verdana" w:hAnsi="Verdana"/>
                <w:sz w:val="13"/>
              </w:rPr>
              <w:t>Covariável exógena - Saldo mensal de emprego formal.</w:t>
            </w:r>
          </w:p>
        </w:tc>
      </w:tr>
      <w:tr>
        <w:tc>
          <w:tcPr>
            <w:tcW w:type="dxa" w:w="1994"/>
            <w:tcBorders/>
          </w:tcPr>
          <w:p>
            <w:pPr>
              <w:jc w:val="left"/>
            </w:pPr>
            <w:r>
              <w:rPr>
                <w:rFonts w:ascii="Verdana" w:hAnsi="Verdana"/>
                <w:sz w:val="13"/>
              </w:rPr>
              <w:t>Consumo_Gasolina</w:t>
            </w:r>
          </w:p>
        </w:tc>
        <w:tc>
          <w:tcPr>
            <w:tcW w:type="dxa" w:w="1994"/>
            <w:tcBorders/>
          </w:tcPr>
          <w:p>
            <w:pPr>
              <w:jc w:val="left"/>
            </w:pPr>
            <w:r>
              <w:rPr>
                <w:rFonts w:ascii="Verdana" w:hAnsi="Verdana"/>
                <w:sz w:val="13"/>
              </w:rPr>
              <w:t>SGS 1393 (ANP)</w:t>
            </w:r>
          </w:p>
        </w:tc>
        <w:tc>
          <w:tcPr>
            <w:tcW w:type="dxa" w:w="1994"/>
            <w:tcBorders/>
          </w:tcPr>
          <w:p>
            <w:pPr>
              <w:jc w:val="left"/>
            </w:pPr>
            <w:r>
              <w:rPr>
                <w:rFonts w:ascii="Verdana" w:hAnsi="Verdana"/>
                <w:sz w:val="13"/>
              </w:rPr>
              <w:t>Float64 (m³)</w:t>
            </w:r>
          </w:p>
        </w:tc>
        <w:tc>
          <w:tcPr>
            <w:tcW w:type="dxa" w:w="1994"/>
            <w:tcBorders/>
          </w:tcPr>
          <w:p>
            <w:pPr>
              <w:jc w:val="left"/>
            </w:pPr>
            <w:r>
              <w:rPr>
                <w:rFonts w:ascii="Verdana" w:hAnsi="Verdana"/>
                <w:sz w:val="13"/>
              </w:rPr>
              <w:t>Sincronização MS; zeros tratados</w:t>
            </w:r>
          </w:p>
        </w:tc>
        <w:tc>
          <w:tcPr>
            <w:tcW w:type="dxa" w:w="1994"/>
            <w:tcBorders/>
          </w:tcPr>
          <w:p>
            <w:pPr>
              <w:jc w:val="left"/>
            </w:pPr>
            <w:r>
              <w:rPr>
                <w:rFonts w:ascii="Verdana" w:hAnsi="Verdana"/>
                <w:sz w:val="13"/>
              </w:rPr>
              <w:t>Covariável exógena - Consumo automotivo e transporte.</w:t>
            </w:r>
          </w:p>
        </w:tc>
      </w:tr>
      <w:tr>
        <w:tc>
          <w:tcPr>
            <w:tcW w:type="dxa" w:w="1994"/>
            <w:tcBorders/>
          </w:tcPr>
          <w:p>
            <w:pPr>
              <w:jc w:val="left"/>
            </w:pPr>
            <w:r>
              <w:rPr>
                <w:rFonts w:ascii="Verdana" w:hAnsi="Verdana"/>
                <w:sz w:val="13"/>
              </w:rPr>
              <w:t>Consumo_Energia</w:t>
            </w:r>
          </w:p>
        </w:tc>
        <w:tc>
          <w:tcPr>
            <w:tcW w:type="dxa" w:w="1994"/>
            <w:tcBorders/>
          </w:tcPr>
          <w:p>
            <w:pPr>
              <w:jc w:val="left"/>
            </w:pPr>
            <w:r>
              <w:rPr>
                <w:rFonts w:ascii="Verdana" w:hAnsi="Verdana"/>
                <w:sz w:val="13"/>
              </w:rPr>
              <w:t>SGS 1406 (EPE)</w:t>
            </w:r>
          </w:p>
        </w:tc>
        <w:tc>
          <w:tcPr>
            <w:tcW w:type="dxa" w:w="1994"/>
            <w:tcBorders/>
          </w:tcPr>
          <w:p>
            <w:pPr>
              <w:jc w:val="left"/>
            </w:pPr>
            <w:r>
              <w:rPr>
                <w:rFonts w:ascii="Verdana" w:hAnsi="Verdana"/>
                <w:sz w:val="13"/>
              </w:rPr>
              <w:t>Float64 (MWh)</w:t>
            </w:r>
          </w:p>
        </w:tc>
        <w:tc>
          <w:tcPr>
            <w:tcW w:type="dxa" w:w="1994"/>
            <w:tcBorders/>
          </w:tcPr>
          <w:p>
            <w:pPr>
              <w:jc w:val="left"/>
            </w:pPr>
            <w:r>
              <w:rPr>
                <w:rFonts w:ascii="Verdana" w:hAnsi="Verdana"/>
                <w:sz w:val="13"/>
              </w:rPr>
              <w:t>Sincronização mensal MS; integridade</w:t>
            </w:r>
          </w:p>
        </w:tc>
        <w:tc>
          <w:tcPr>
            <w:tcW w:type="dxa" w:w="1994"/>
            <w:tcBorders/>
          </w:tcPr>
          <w:p>
            <w:pPr>
              <w:jc w:val="left"/>
            </w:pPr>
            <w:r>
              <w:rPr>
                <w:rFonts w:ascii="Verdana" w:hAnsi="Verdana"/>
                <w:sz w:val="13"/>
              </w:rPr>
              <w:t>Covariável exógena - Demanda física global de eletricidade.</w:t>
            </w:r>
          </w:p>
        </w:tc>
      </w:tr>
      <w:tr>
        <w:tc>
          <w:tcPr>
            <w:tcW w:type="dxa" w:w="1994"/>
            <w:tcBorders/>
          </w:tcPr>
          <w:p>
            <w:pPr>
              <w:jc w:val="left"/>
            </w:pPr>
            <w:r>
              <w:rPr>
                <w:rFonts w:ascii="Verdana" w:hAnsi="Verdana"/>
                <w:sz w:val="13"/>
              </w:rPr>
              <w:t>Regime de Inflação</w:t>
            </w:r>
          </w:p>
        </w:tc>
        <w:tc>
          <w:tcPr>
            <w:tcW w:type="dxa" w:w="1994"/>
            <w:tcBorders/>
          </w:tcPr>
          <w:p>
            <w:pPr>
              <w:jc w:val="left"/>
            </w:pPr>
            <w:r>
              <w:rPr>
                <w:rFonts w:ascii="Verdana" w:hAnsi="Verdana"/>
                <w:sz w:val="13"/>
              </w:rPr>
              <w:t>IBGE / CMN</w:t>
            </w:r>
          </w:p>
        </w:tc>
        <w:tc>
          <w:tcPr>
            <w:tcW w:type="dxa" w:w="1994"/>
            <w:tcBorders/>
          </w:tcPr>
          <w:p>
            <w:pPr>
              <w:jc w:val="left"/>
            </w:pPr>
            <w:r>
              <w:rPr>
                <w:rFonts w:ascii="Verdana" w:hAnsi="Verdana"/>
                <w:sz w:val="13"/>
              </w:rPr>
              <w:t>Categórico</w:t>
            </w:r>
          </w:p>
        </w:tc>
        <w:tc>
          <w:tcPr>
            <w:tcW w:type="dxa" w:w="1994"/>
            <w:tcBorders/>
          </w:tcPr>
          <w:p>
            <w:pPr>
              <w:jc w:val="left"/>
            </w:pPr>
            <w:r>
              <w:rPr>
                <w:rFonts w:ascii="Verdana" w:hAnsi="Verdana"/>
                <w:sz w:val="13"/>
              </w:rPr>
              <w:t>Discretização: Deflação, Meta e Alta</w:t>
            </w:r>
          </w:p>
        </w:tc>
        <w:tc>
          <w:tcPr>
            <w:tcW w:type="dxa" w:w="1994"/>
            <w:tcBorders/>
          </w:tcPr>
          <w:p>
            <w:pPr>
              <w:jc w:val="left"/>
            </w:pPr>
            <w:r>
              <w:rPr>
                <w:rFonts w:ascii="Verdana" w:hAnsi="Verdana"/>
                <w:sz w:val="13"/>
              </w:rPr>
              <w:t>Atributo nominal derivado qualitativo.</w:t>
            </w:r>
          </w:p>
        </w:tc>
      </w:tr>
      <w:tr>
        <w:tc>
          <w:tcPr>
            <w:tcW w:type="dxa" w:w="1994"/>
            <w:tcBorders>
              <w:bottom w:sz="12" w:val="single" w:color="002060"/>
            </w:tcBorders>
          </w:tcPr>
          <w:p>
            <w:pPr>
              <w:jc w:val="left"/>
            </w:pPr>
            <w:r>
              <w:rPr>
                <w:rFonts w:ascii="Verdana" w:hAnsi="Verdana"/>
                <w:sz w:val="13"/>
              </w:rPr>
              <w:t>mes_sin / mes_cos</w:t>
            </w:r>
          </w:p>
        </w:tc>
        <w:tc>
          <w:tcPr>
            <w:tcW w:type="dxa" w:w="1994"/>
            <w:tcBorders>
              <w:bottom w:sz="12" w:val="single" w:color="002060"/>
            </w:tcBorders>
          </w:tcPr>
          <w:p>
            <w:pPr>
              <w:jc w:val="left"/>
            </w:pPr>
            <w:r>
              <w:rPr>
                <w:rFonts w:ascii="Verdana" w:hAnsi="Verdana"/>
                <w:sz w:val="13"/>
              </w:rPr>
              <w:t>Engenharia Temporal</w:t>
            </w:r>
          </w:p>
        </w:tc>
        <w:tc>
          <w:tcPr>
            <w:tcW w:type="dxa" w:w="1994"/>
            <w:tcBorders>
              <w:bottom w:sz="12" w:val="single" w:color="002060"/>
            </w:tcBorders>
          </w:tcPr>
          <w:p>
            <w:pPr>
              <w:jc w:val="left"/>
            </w:pPr>
            <w:r>
              <w:rPr>
                <w:rFonts w:ascii="Verdana" w:hAnsi="Verdana"/>
                <w:sz w:val="13"/>
              </w:rPr>
              <w:t>Float64</w:t>
            </w:r>
          </w:p>
        </w:tc>
        <w:tc>
          <w:tcPr>
            <w:tcW w:type="dxa" w:w="1994"/>
            <w:tcBorders>
              <w:bottom w:sz="12" w:val="single" w:color="002060"/>
            </w:tcBorders>
          </w:tcPr>
          <w:p>
            <w:pPr>
              <w:jc w:val="left"/>
            </w:pPr>
            <w:r>
              <w:rPr>
                <w:rFonts w:ascii="Verdana" w:hAnsi="Verdana"/>
                <w:sz w:val="13"/>
              </w:rPr>
              <w:t>Transformações harmônicas sen/cos</w:t>
            </w:r>
          </w:p>
        </w:tc>
        <w:tc>
          <w:tcPr>
            <w:tcW w:type="dxa" w:w="1994"/>
            <w:tcBorders>
              <w:bottom w:sz="12" w:val="single" w:color="002060"/>
            </w:tcBorders>
          </w:tcPr>
          <w:p>
            <w:pPr>
              <w:jc w:val="left"/>
            </w:pPr>
            <w:r>
              <w:rPr>
                <w:rFonts w:ascii="Verdana" w:hAnsi="Verdana"/>
                <w:sz w:val="13"/>
              </w:rPr>
              <w:t>Covariáveis cíclicas periódicas anuais.</w:t>
            </w:r>
          </w:p>
        </w:tc>
      </w:tr>
    </w:tbl>
    <w:p>
      <w:pPr>
        <w:pStyle w:val="LO-normal"/>
        <w:spacing w:before="40" w:after="160"/>
      </w:pPr>
      <w:r>
        <w:rPr>
          <w:rFonts w:ascii="Verdana" w:hAnsi="Verdana"/>
          <w:color w:val="646464"/>
          <w:sz w:val="16"/>
        </w:rPr>
        <w:t>Fonte: Elaboração própria a partir do pipeline desenvolvido e validado com os especialistas de domínio (2026).</w:t>
      </w:r>
    </w:p>
    <w:p>
      <w:pPr>
        <w:pStyle w:val="Ttulo3"/>
        <w:keepNext/>
        <w:spacing w:before="200" w:after="60"/>
      </w:pPr>
      <w:r>
        <w:rPr>
          <w:rFonts w:ascii="Verdana" w:hAnsi="Verdana"/>
          <w:b/>
          <w:color w:val="002060"/>
          <w:sz w:val="22"/>
        </w:rPr>
        <w:t>3.4 Análise Exploratória e Descritiva dos Dados</w:t>
      </w:r>
    </w:p>
    <w:p>
      <w:pPr>
        <w:pStyle w:val="LO-normal"/>
        <w:keepNext/>
        <w:spacing w:before="160" w:after="40"/>
      </w:pPr>
      <w:r>
        <w:rPr>
          <w:rFonts w:ascii="Verdana" w:hAnsi="Verdana"/>
          <w:b/>
          <w:color w:val="002060"/>
          <w:sz w:val="20"/>
        </w:rPr>
        <w:t>3.4.1 Distribuição de Frequências e Métricas Descritivas</w:t>
      </w:r>
    </w:p>
    <w:p>
      <w:pPr>
        <w:pStyle w:val="LO-normal"/>
        <w:spacing w:line="276" w:lineRule="auto" w:before="0" w:after="0"/>
        <w:ind w:firstLine="706"/>
        <w:jc w:val="both"/>
      </w:pPr>
      <w:r>
        <w:rPr>
          <w:rFonts w:ascii="Verdana" w:hAnsi="Verdana"/>
          <w:i w:val="0"/>
          <w:color w:val="212121"/>
          <w:sz w:val="18"/>
        </w:rPr>
        <w:t>Para a variável alvo contínua (IPCA), a série de 174 meses registra: Média mensal de 0,447%; Mediana de 0,380%; Desvio padrão de 0,344%; Mínimo de -0,680% (julho/2022, deflação por desoneração de combustíveis); Máximo de 1,950% (março/2015, realinhamento tarifário); Assimetria positiva (+0,53); e Curtose de 3,82 (distribuição leptocúrtica com caudas pesadas).</w:t>
      </w:r>
    </w:p>
    <w:p>
      <w:pPr>
        <w:pStyle w:val="LO-normal"/>
        <w:spacing w:line="276" w:lineRule="auto" w:before="0" w:after="0"/>
        <w:ind w:firstLine="706"/>
        <w:jc w:val="both"/>
      </w:pPr>
      <w:r>
        <w:rPr>
          <w:rFonts w:ascii="Verdana" w:hAnsi="Verdana"/>
          <w:i w:val="0"/>
          <w:color w:val="212121"/>
          <w:sz w:val="18"/>
        </w:rPr>
        <w:t>O atributo nominal derivado (Regime de Inflação) foi discretizado conforme as metas do BACEN em: Deflação (IPCA &lt;= 0%), Meta (0% &lt; IPCA &lt;= 0,55%) e Alta (IPCA &gt; 0,55% a.m.). A Tabela 3 apresenta a distribuição percentual da amostra.</w:t>
      </w:r>
    </w:p>
    <w:p>
      <w:pPr>
        <w:pStyle w:val="LO-normal"/>
        <w:keepNext/>
        <w:spacing w:before="160" w:after="40"/>
      </w:pPr>
      <w:r>
        <w:rPr>
          <w:rFonts w:ascii="Verdana" w:hAnsi="Verdana"/>
          <w:b/>
          <w:color w:val="002060"/>
          <w:sz w:val="19"/>
        </w:rPr>
        <w:t>Tabela 3 - Distribuição de Frequência do Atributo Nominal (Regime de Inflação)</w:t>
      </w:r>
    </w:p>
    <w:tbl>
      <w:tblPr>
        <w:tblW w:type="auto" w:w="0"/>
        <w:jc w:val="center"/>
        <w:tblLook w:firstColumn="1" w:firstRow="1" w:lastColumn="0" w:lastRow="0" w:noHBand="0" w:noVBand="1" w:val="04A0"/>
      </w:tblPr>
      <w:tblGrid>
        <w:gridCol w:w="2493"/>
        <w:gridCol w:w="2493"/>
        <w:gridCol w:w="2493"/>
        <w:gridCol w:w="2493"/>
      </w:tblGrid>
      <w:tr>
        <w:tc>
          <w:tcPr>
            <w:tcW w:type="dxa" w:w="2493"/>
            <w:shd w:fill="DEEAF6"/>
            <w:tcBorders>
              <w:top w:sz="12" w:val="single" w:color="002060"/>
              <w:bottom w:sz="8" w:val="single" w:color="002060"/>
            </w:tcBorders>
          </w:tcPr>
          <w:p>
            <w:pPr>
              <w:jc w:val="center"/>
            </w:pPr>
            <w:r>
              <w:rPr>
                <w:rFonts w:ascii="Verdana" w:hAnsi="Verdana"/>
                <w:b/>
                <w:color w:val="002060"/>
                <w:sz w:val="15"/>
              </w:rPr>
              <w:t>Regime Nominal</w:t>
            </w:r>
          </w:p>
        </w:tc>
        <w:tc>
          <w:tcPr>
            <w:tcW w:type="dxa" w:w="2493"/>
            <w:shd w:fill="DEEAF6"/>
            <w:tcBorders>
              <w:top w:sz="12" w:val="single" w:color="002060"/>
              <w:bottom w:sz="8" w:val="single" w:color="002060"/>
            </w:tcBorders>
          </w:tcPr>
          <w:p>
            <w:pPr>
              <w:jc w:val="center"/>
            </w:pPr>
            <w:r>
              <w:rPr>
                <w:rFonts w:ascii="Verdana" w:hAnsi="Verdana"/>
                <w:b/>
                <w:color w:val="002060"/>
                <w:sz w:val="15"/>
              </w:rPr>
              <w:t>Critério Paramétrico</w:t>
            </w:r>
          </w:p>
        </w:tc>
        <w:tc>
          <w:tcPr>
            <w:tcW w:type="dxa" w:w="2493"/>
            <w:shd w:fill="DEEAF6"/>
            <w:tcBorders>
              <w:top w:sz="12" w:val="single" w:color="002060"/>
              <w:bottom w:sz="8" w:val="single" w:color="002060"/>
            </w:tcBorders>
          </w:tcPr>
          <w:p>
            <w:pPr>
              <w:jc w:val="center"/>
            </w:pPr>
            <w:r>
              <w:rPr>
                <w:rFonts w:ascii="Verdana" w:hAnsi="Verdana"/>
                <w:b/>
                <w:color w:val="002060"/>
                <w:sz w:val="15"/>
              </w:rPr>
              <w:t>Freq. Absoluta</w:t>
            </w:r>
          </w:p>
        </w:tc>
        <w:tc>
          <w:tcPr>
            <w:tcW w:type="dxa" w:w="2493"/>
            <w:shd w:fill="DEEAF6"/>
            <w:tcBorders>
              <w:top w:sz="12" w:val="single" w:color="002060"/>
              <w:bottom w:sz="8" w:val="single" w:color="002060"/>
            </w:tcBorders>
          </w:tcPr>
          <w:p>
            <w:pPr>
              <w:jc w:val="center"/>
            </w:pPr>
            <w:r>
              <w:rPr>
                <w:rFonts w:ascii="Verdana" w:hAnsi="Verdana"/>
                <w:b/>
                <w:color w:val="002060"/>
                <w:sz w:val="15"/>
              </w:rPr>
              <w:t>Freq. Relativa (%)</w:t>
            </w:r>
          </w:p>
        </w:tc>
      </w:tr>
      <w:tr>
        <w:tc>
          <w:tcPr>
            <w:tcW w:type="dxa" w:w="2493"/>
            <w:tcBorders/>
          </w:tcPr>
          <w:p>
            <w:pPr>
              <w:jc w:val="left"/>
            </w:pPr>
            <w:r>
              <w:rPr>
                <w:rFonts w:ascii="Verdana" w:hAnsi="Verdana"/>
                <w:sz w:val="15"/>
              </w:rPr>
              <w:t>Deflação</w:t>
            </w:r>
          </w:p>
        </w:tc>
        <w:tc>
          <w:tcPr>
            <w:tcW w:type="dxa" w:w="2493"/>
            <w:tcBorders/>
          </w:tcPr>
          <w:p>
            <w:pPr>
              <w:jc w:val="left"/>
            </w:pPr>
            <w:r>
              <w:rPr>
                <w:rFonts w:ascii="Verdana" w:hAnsi="Verdana"/>
                <w:sz w:val="15"/>
              </w:rPr>
              <w:t>IPCA &lt;= 0,00%</w:t>
            </w:r>
          </w:p>
        </w:tc>
        <w:tc>
          <w:tcPr>
            <w:tcW w:type="dxa" w:w="2493"/>
            <w:tcBorders/>
          </w:tcPr>
          <w:p>
            <w:pPr>
              <w:jc w:val="center"/>
            </w:pPr>
            <w:r>
              <w:rPr>
                <w:rFonts w:ascii="Verdana" w:hAnsi="Verdana"/>
                <w:sz w:val="15"/>
              </w:rPr>
              <w:t>27</w:t>
            </w:r>
          </w:p>
        </w:tc>
        <w:tc>
          <w:tcPr>
            <w:tcW w:type="dxa" w:w="2493"/>
            <w:tcBorders/>
          </w:tcPr>
          <w:p>
            <w:pPr>
              <w:jc w:val="center"/>
            </w:pPr>
            <w:r>
              <w:rPr>
                <w:rFonts w:ascii="Verdana" w:hAnsi="Verdana"/>
                <w:sz w:val="15"/>
              </w:rPr>
              <w:t>15,52%</w:t>
            </w:r>
          </w:p>
        </w:tc>
      </w:tr>
      <w:tr>
        <w:tc>
          <w:tcPr>
            <w:tcW w:type="dxa" w:w="2493"/>
            <w:tcBorders/>
          </w:tcPr>
          <w:p>
            <w:pPr>
              <w:jc w:val="left"/>
            </w:pPr>
            <w:r>
              <w:rPr>
                <w:rFonts w:ascii="Verdana" w:hAnsi="Verdana"/>
                <w:sz w:val="15"/>
              </w:rPr>
              <w:t>Meta</w:t>
            </w:r>
          </w:p>
        </w:tc>
        <w:tc>
          <w:tcPr>
            <w:tcW w:type="dxa" w:w="2493"/>
            <w:tcBorders/>
          </w:tcPr>
          <w:p>
            <w:pPr>
              <w:jc w:val="left"/>
            </w:pPr>
            <w:r>
              <w:rPr>
                <w:rFonts w:ascii="Verdana" w:hAnsi="Verdana"/>
                <w:sz w:val="15"/>
              </w:rPr>
              <w:t>0,00% &lt; IPCA &lt;= 0,55%</w:t>
            </w:r>
          </w:p>
        </w:tc>
        <w:tc>
          <w:tcPr>
            <w:tcW w:type="dxa" w:w="2493"/>
            <w:tcBorders/>
          </w:tcPr>
          <w:p>
            <w:pPr>
              <w:jc w:val="center"/>
            </w:pPr>
            <w:r>
              <w:rPr>
                <w:rFonts w:ascii="Verdana" w:hAnsi="Verdana"/>
                <w:sz w:val="15"/>
              </w:rPr>
              <w:t>77</w:t>
            </w:r>
          </w:p>
        </w:tc>
        <w:tc>
          <w:tcPr>
            <w:tcW w:type="dxa" w:w="2493"/>
            <w:tcBorders/>
          </w:tcPr>
          <w:p>
            <w:pPr>
              <w:jc w:val="center"/>
            </w:pPr>
            <w:r>
              <w:rPr>
                <w:rFonts w:ascii="Verdana" w:hAnsi="Verdana"/>
                <w:sz w:val="15"/>
              </w:rPr>
              <w:t>44,25%</w:t>
            </w:r>
          </w:p>
        </w:tc>
      </w:tr>
      <w:tr>
        <w:tc>
          <w:tcPr>
            <w:tcW w:type="dxa" w:w="2493"/>
            <w:tcBorders/>
          </w:tcPr>
          <w:p>
            <w:pPr>
              <w:jc w:val="left"/>
            </w:pPr>
            <w:r>
              <w:rPr>
                <w:rFonts w:ascii="Verdana" w:hAnsi="Verdana"/>
                <w:sz w:val="15"/>
              </w:rPr>
              <w:t>Alta</w:t>
            </w:r>
          </w:p>
        </w:tc>
        <w:tc>
          <w:tcPr>
            <w:tcW w:type="dxa" w:w="2493"/>
            <w:tcBorders/>
          </w:tcPr>
          <w:p>
            <w:pPr>
              <w:jc w:val="left"/>
            </w:pPr>
            <w:r>
              <w:rPr>
                <w:rFonts w:ascii="Verdana" w:hAnsi="Verdana"/>
                <w:sz w:val="15"/>
              </w:rPr>
              <w:t>IPCA &gt; 0,55%</w:t>
            </w:r>
          </w:p>
        </w:tc>
        <w:tc>
          <w:tcPr>
            <w:tcW w:type="dxa" w:w="2493"/>
            <w:tcBorders/>
          </w:tcPr>
          <w:p>
            <w:pPr>
              <w:jc w:val="center"/>
            </w:pPr>
            <w:r>
              <w:rPr>
                <w:rFonts w:ascii="Verdana" w:hAnsi="Verdana"/>
                <w:sz w:val="15"/>
              </w:rPr>
              <w:t>70</w:t>
            </w:r>
          </w:p>
        </w:tc>
        <w:tc>
          <w:tcPr>
            <w:tcW w:type="dxa" w:w="2493"/>
            <w:tcBorders/>
          </w:tcPr>
          <w:p>
            <w:pPr>
              <w:jc w:val="center"/>
            </w:pPr>
            <w:r>
              <w:rPr>
                <w:rFonts w:ascii="Verdana" w:hAnsi="Verdana"/>
                <w:sz w:val="15"/>
              </w:rPr>
              <w:t>40,23%</w:t>
            </w:r>
          </w:p>
        </w:tc>
      </w:tr>
      <w:tr>
        <w:tc>
          <w:tcPr>
            <w:tcW w:type="dxa" w:w="2493"/>
            <w:tcBorders>
              <w:bottom w:sz="12" w:val="single" w:color="002060"/>
            </w:tcBorders>
          </w:tcPr>
          <w:p>
            <w:pPr>
              <w:jc w:val="left"/>
            </w:pPr>
            <w:r>
              <w:rPr>
                <w:rFonts w:ascii="Verdana" w:hAnsi="Verdana"/>
                <w:b/>
                <w:sz w:val="15"/>
              </w:rPr>
              <w:t>Total</w:t>
            </w:r>
          </w:p>
        </w:tc>
        <w:tc>
          <w:tcPr>
            <w:tcW w:type="dxa" w:w="2493"/>
            <w:tcBorders>
              <w:bottom w:sz="12" w:val="single" w:color="002060"/>
            </w:tcBorders>
          </w:tcPr>
          <w:p>
            <w:pPr>
              <w:jc w:val="left"/>
            </w:pPr>
            <w:r>
              <w:rPr>
                <w:rFonts w:ascii="Verdana" w:hAnsi="Verdana"/>
                <w:b/>
                <w:sz w:val="15"/>
              </w:rPr>
              <w:t>Amostra Global (2012-2026)</w:t>
            </w:r>
          </w:p>
        </w:tc>
        <w:tc>
          <w:tcPr>
            <w:tcW w:type="dxa" w:w="2493"/>
            <w:tcBorders>
              <w:bottom w:sz="12" w:val="single" w:color="002060"/>
            </w:tcBorders>
          </w:tcPr>
          <w:p>
            <w:pPr>
              <w:jc w:val="center"/>
            </w:pPr>
            <w:r>
              <w:rPr>
                <w:rFonts w:ascii="Verdana" w:hAnsi="Verdana"/>
                <w:b/>
                <w:sz w:val="15"/>
              </w:rPr>
              <w:t>174</w:t>
            </w:r>
          </w:p>
        </w:tc>
        <w:tc>
          <w:tcPr>
            <w:tcW w:type="dxa" w:w="2493"/>
            <w:tcBorders>
              <w:bottom w:sz="12" w:val="single" w:color="002060"/>
            </w:tcBorders>
          </w:tcPr>
          <w:p>
            <w:pPr>
              <w:jc w:val="center"/>
            </w:pPr>
            <w:r>
              <w:rPr>
                <w:rFonts w:ascii="Verdana" w:hAnsi="Verdana"/>
                <w:b/>
                <w:sz w:val="15"/>
              </w:rPr>
              <w:t>100,00%</w:t>
            </w:r>
          </w:p>
        </w:tc>
      </w:tr>
    </w:tbl>
    <w:p>
      <w:pPr>
        <w:pStyle w:val="LO-normal"/>
        <w:spacing w:before="40" w:after="160"/>
      </w:pPr>
      <w:r>
        <w:rPr>
          <w:rFonts w:ascii="Verdana" w:hAnsi="Verdana"/>
          <w:color w:val="646464"/>
          <w:sz w:val="16"/>
        </w:rPr>
        <w:t>Fonte: Elaboração própria a partir do SGS/BACEN e CMN (2026).</w:t>
      </w:r>
    </w:p>
    <w:p>
      <w:pPr>
        <w:pStyle w:val="LO-normal"/>
        <w:keepNext/>
        <w:spacing w:before="160" w:after="40"/>
      </w:pPr>
      <w:r>
        <w:rPr>
          <w:rFonts w:ascii="Verdana" w:hAnsi="Verdana"/>
          <w:b/>
          <w:color w:val="002060"/>
          <w:sz w:val="20"/>
        </w:rPr>
        <w:t>3.4.2 Análise Visual: Histograma, Boxplot e Dispersão</w:t>
      </w:r>
    </w:p>
    <w:p>
      <w:pPr>
        <w:pStyle w:val="LO-normal"/>
        <w:spacing w:line="276" w:lineRule="auto" w:before="0" w:after="0"/>
        <w:ind w:firstLine="706"/>
        <w:jc w:val="both"/>
      </w:pPr>
      <w:r>
        <w:rPr>
          <w:rFonts w:ascii="Verdana" w:hAnsi="Verdana"/>
          <w:i w:val="0"/>
          <w:color w:val="212121"/>
          <w:sz w:val="18"/>
        </w:rPr>
        <w:t>A Figura 2 confirma a concentração da inflação entre 0,10% e 0,60% ao mês. A assimetria positiva (+0,53) evidencia que os choques inflacionários são significativamente mais severos do que as quedas de preço.</w:t>
      </w:r>
    </w:p>
    <w:p>
      <w:pPr>
        <w:pStyle w:val="LO-normal"/>
        <w:keepNext/>
        <w:spacing w:before="200" w:after="60"/>
        <w:jc w:val="center"/>
      </w:pPr>
      <w:r>
        <w:rPr>
          <w:rFonts w:ascii="Verdana" w:hAnsi="Verdana"/>
          <w:b/>
          <w:color w:val="002060"/>
          <w:sz w:val="19"/>
        </w:rPr>
        <w:t>Figura 2 – Histograma e Densidade Empírica (KDE) do IPCA (2012–2026)</w:t>
      </w:r>
    </w:p>
    <w:p>
      <w:pPr>
        <w:pStyle w:val="LO-normal"/>
        <w:keepNext/>
        <w:spacing w:before="0" w:after="40"/>
        <w:jc w:val="center"/>
      </w:pPr>
      <w:r>
        <w:drawing>
          <wp:inline xmlns:a="http://schemas.openxmlformats.org/drawingml/2006/main" xmlns:pic="http://schemas.openxmlformats.org/drawingml/2006/picture">
            <wp:extent cx="2926080" cy="2016642"/>
            <wp:docPr id="21" name="Picture 21"/>
            <wp:cNvGraphicFramePr>
              <a:graphicFrameLocks noChangeAspect="1"/>
            </wp:cNvGraphicFramePr>
            <a:graphic>
              <a:graphicData uri="http://schemas.openxmlformats.org/drawingml/2006/picture">
                <pic:pic>
                  <pic:nvPicPr>
                    <pic:cNvPr id="0" name="Figura_1_Histograma_IPCA.png"/>
                    <pic:cNvPicPr/>
                  </pic:nvPicPr>
                  <pic:blipFill>
                    <a:blip r:embed="rId39"/>
                    <a:stretch>
                      <a:fillRect/>
                    </a:stretch>
                  </pic:blipFill>
                  <pic:spPr>
                    <a:xfrm>
                      <a:off x="0" y="0"/>
                      <a:ext cx="2926080" cy="2016642"/>
                    </a:xfrm>
                    <a:prstGeom prst="rect"/>
                  </pic:spPr>
                </pic:pic>
              </a:graphicData>
            </a:graphic>
          </wp:inline>
        </w:drawing>
      </w:r>
    </w:p>
    <w:p>
      <w:pPr>
        <w:pStyle w:val="LO-normal"/>
        <w:spacing w:before="20" w:after="160"/>
        <w:jc w:val="center"/>
      </w:pPr>
      <w:r>
        <w:rPr>
          <w:rFonts w:ascii="Verdana" w:hAnsi="Verdana"/>
          <w:color w:val="646464"/>
          <w:sz w:val="16"/>
        </w:rPr>
        <w:t>Fonte: Autores (2026).</w:t>
      </w:r>
    </w:p>
    <w:p>
      <w:pPr>
        <w:pStyle w:val="LO-normal"/>
        <w:spacing w:line="276" w:lineRule="auto" w:before="0" w:after="0"/>
        <w:ind w:firstLine="706"/>
        <w:jc w:val="both"/>
      </w:pPr>
      <w:r>
        <w:rPr>
          <w:rFonts w:ascii="Verdana" w:hAnsi="Verdana"/>
          <w:i w:val="0"/>
          <w:color w:val="212121"/>
          <w:sz w:val="18"/>
        </w:rPr>
        <w:t>O Boxplot na Figura 3 identifica 5 outliers severos pelo critério de Tukey (IQR): março/2015 (+1,95%), outubro/2020 (+1,72%), novembro/2020 (+1,61%), dezembro/2020 (+1,58%) e dezembro/2021 (+1,58%), decorrentes de choques em carnes e gargalos logísticos globais pós-pandemia. A dispersão na classe 'Alta' justifica a modelagem não linear dos resíduos.</w:t>
      </w:r>
    </w:p>
    <w:p>
      <w:pPr>
        <w:pStyle w:val="LO-normal"/>
        <w:keepNext/>
        <w:spacing w:before="200" w:after="60"/>
        <w:jc w:val="center"/>
      </w:pPr>
      <w:r>
        <w:rPr>
          <w:rFonts w:ascii="Verdana" w:hAnsi="Verdana"/>
          <w:b/>
          <w:color w:val="002060"/>
          <w:sz w:val="19"/>
        </w:rPr>
        <w:t>Figura 3 – Diagrama de Caixa (Boxplot) do IPCA Global e por Regimes</w:t>
      </w:r>
    </w:p>
    <w:p>
      <w:pPr>
        <w:pStyle w:val="LO-normal"/>
        <w:keepNext/>
        <w:spacing w:before="0" w:after="40"/>
        <w:jc w:val="center"/>
      </w:pPr>
      <w:r>
        <w:drawing>
          <wp:inline xmlns:a="http://schemas.openxmlformats.org/drawingml/2006/main" xmlns:pic="http://schemas.openxmlformats.org/drawingml/2006/picture">
            <wp:extent cx="2926080" cy="1645163"/>
            <wp:docPr id="22" name="Picture 22"/>
            <wp:cNvGraphicFramePr>
              <a:graphicFrameLocks noChangeAspect="1"/>
            </wp:cNvGraphicFramePr>
            <a:graphic>
              <a:graphicData uri="http://schemas.openxmlformats.org/drawingml/2006/picture">
                <pic:pic>
                  <pic:nvPicPr>
                    <pic:cNvPr id="0" name="Figura_2_Boxplot_IPCA.png"/>
                    <pic:cNvPicPr/>
                  </pic:nvPicPr>
                  <pic:blipFill>
                    <a:blip r:embed="rId40"/>
                    <a:stretch>
                      <a:fillRect/>
                    </a:stretch>
                  </pic:blipFill>
                  <pic:spPr>
                    <a:xfrm>
                      <a:off x="0" y="0"/>
                      <a:ext cx="2926080" cy="1645163"/>
                    </a:xfrm>
                    <a:prstGeom prst="rect"/>
                  </pic:spPr>
                </pic:pic>
              </a:graphicData>
            </a:graphic>
          </wp:inline>
        </w:drawing>
      </w:r>
    </w:p>
    <w:p>
      <w:pPr>
        <w:pStyle w:val="LO-normal"/>
        <w:spacing w:before="20" w:after="160"/>
        <w:jc w:val="center"/>
      </w:pPr>
      <w:r>
        <w:rPr>
          <w:rFonts w:ascii="Verdana" w:hAnsi="Verdana"/>
          <w:color w:val="646464"/>
          <w:sz w:val="16"/>
        </w:rPr>
        <w:t>Fonte: Autores (2026).</w:t>
      </w:r>
    </w:p>
    <w:p>
      <w:pPr>
        <w:pStyle w:val="LO-normal"/>
        <w:spacing w:line="276" w:lineRule="auto" w:before="0" w:after="0"/>
        <w:ind w:firstLine="706"/>
        <w:jc w:val="both"/>
      </w:pPr>
      <w:r>
        <w:rPr>
          <w:rFonts w:ascii="Verdana" w:hAnsi="Verdana"/>
          <w:i w:val="0"/>
          <w:color w:val="212121"/>
          <w:sz w:val="18"/>
        </w:rPr>
        <w:t>A Figura 4 evidencia a relação positiva entre desvalorização cambial e inflação (pass-through cambial). À medida que o câmbio PTAX opera em patamares elevados, a incidência de meses no regime de 'Alta' cresce substancialmente.</w:t>
      </w:r>
    </w:p>
    <w:p>
      <w:pPr>
        <w:pStyle w:val="LO-normal"/>
        <w:keepNext/>
        <w:spacing w:before="200" w:after="60"/>
        <w:jc w:val="center"/>
      </w:pPr>
      <w:r>
        <w:rPr>
          <w:rFonts w:ascii="Verdana" w:hAnsi="Verdana"/>
          <w:b/>
          <w:color w:val="002060"/>
          <w:sz w:val="19"/>
        </w:rPr>
        <w:t>Figura 4 – Gráfico de Dispersão entre IPCA e Câmbio (USDBRL) por Regime</w:t>
      </w:r>
    </w:p>
    <w:p>
      <w:pPr>
        <w:pStyle w:val="LO-normal"/>
        <w:keepNext/>
        <w:spacing w:before="0" w:after="40"/>
        <w:jc w:val="center"/>
      </w:pPr>
      <w:r>
        <w:drawing>
          <wp:inline xmlns:a="http://schemas.openxmlformats.org/drawingml/2006/main" xmlns:pic="http://schemas.openxmlformats.org/drawingml/2006/picture">
            <wp:extent cx="2926080" cy="1927937"/>
            <wp:docPr id="23" name="Picture 23"/>
            <wp:cNvGraphicFramePr>
              <a:graphicFrameLocks noChangeAspect="1"/>
            </wp:cNvGraphicFramePr>
            <a:graphic>
              <a:graphicData uri="http://schemas.openxmlformats.org/drawingml/2006/picture">
                <pic:pic>
                  <pic:nvPicPr>
                    <pic:cNvPr id="0" name="Figura_3_Dispersao_IPCA_Cambio.png"/>
                    <pic:cNvPicPr/>
                  </pic:nvPicPr>
                  <pic:blipFill>
                    <a:blip r:embed="rId41"/>
                    <a:stretch>
                      <a:fillRect/>
                    </a:stretch>
                  </pic:blipFill>
                  <pic:spPr>
                    <a:xfrm>
                      <a:off x="0" y="0"/>
                      <a:ext cx="2926080" cy="1927937"/>
                    </a:xfrm>
                    <a:prstGeom prst="rect"/>
                  </pic:spPr>
                </pic:pic>
              </a:graphicData>
            </a:graphic>
          </wp:inline>
        </w:drawing>
      </w:r>
    </w:p>
    <w:p>
      <w:pPr>
        <w:pStyle w:val="LO-normal"/>
        <w:spacing w:before="20" w:after="160"/>
        <w:jc w:val="center"/>
      </w:pPr>
      <w:r>
        <w:rPr>
          <w:rFonts w:ascii="Verdana" w:hAnsi="Verdana"/>
          <w:color w:val="646464"/>
          <w:sz w:val="16"/>
        </w:rPr>
        <w:t>Fonte: Autores (2026).</w:t>
      </w:r>
    </w:p>
    <w:p>
      <w:pPr>
        <w:pStyle w:val="LO-normal"/>
        <w:spacing w:line="276" w:lineRule="auto" w:before="0" w:after="0"/>
        <w:ind w:firstLine="706"/>
        <w:jc w:val="both"/>
      </w:pPr>
      <w:r>
        <w:rPr>
          <w:rFonts w:ascii="Verdana" w:hAnsi="Verdana"/>
          <w:i w:val="0"/>
          <w:color w:val="212121"/>
          <w:sz w:val="18"/>
        </w:rPr>
        <w:t>A Figura 5 sintetiza a distribuição amostral: 44,25% dos meses situaram-se na meta, 40,23% em patamares elevados e 15,52% em deflação.</w:t>
      </w:r>
    </w:p>
    <w:p>
      <w:pPr>
        <w:pStyle w:val="LO-normal"/>
        <w:keepNext/>
        <w:spacing w:before="200" w:after="60"/>
        <w:jc w:val="center"/>
      </w:pPr>
      <w:r>
        <w:rPr>
          <w:rFonts w:ascii="Verdana" w:hAnsi="Verdana"/>
          <w:b/>
          <w:color w:val="002060"/>
          <w:sz w:val="19"/>
        </w:rPr>
        <w:t>Figura 5 – Proporção Percentual dos Regimes Nominais de Inflação (N = 174)</w:t>
      </w:r>
    </w:p>
    <w:p>
      <w:pPr>
        <w:pStyle w:val="LO-normal"/>
        <w:keepNext/>
        <w:spacing w:before="0" w:after="40"/>
        <w:jc w:val="center"/>
      </w:pPr>
      <w:r>
        <w:drawing>
          <wp:inline xmlns:a="http://schemas.openxmlformats.org/drawingml/2006/main" xmlns:pic="http://schemas.openxmlformats.org/drawingml/2006/picture">
            <wp:extent cx="2926080" cy="1932554"/>
            <wp:docPr id="24" name="Picture 24"/>
            <wp:cNvGraphicFramePr>
              <a:graphicFrameLocks noChangeAspect="1"/>
            </wp:cNvGraphicFramePr>
            <a:graphic>
              <a:graphicData uri="http://schemas.openxmlformats.org/drawingml/2006/picture">
                <pic:pic>
                  <pic:nvPicPr>
                    <pic:cNvPr id="0" name="Figura_4_Distribuicao_Regimes.png"/>
                    <pic:cNvPicPr/>
                  </pic:nvPicPr>
                  <pic:blipFill>
                    <a:blip r:embed="rId42"/>
                    <a:stretch>
                      <a:fillRect/>
                    </a:stretch>
                  </pic:blipFill>
                  <pic:spPr>
                    <a:xfrm>
                      <a:off x="0" y="0"/>
                      <a:ext cx="2926080" cy="1932554"/>
                    </a:xfrm>
                    <a:prstGeom prst="rect"/>
                  </pic:spPr>
                </pic:pic>
              </a:graphicData>
            </a:graphic>
          </wp:inline>
        </w:drawing>
      </w:r>
    </w:p>
    <w:p>
      <w:pPr>
        <w:pStyle w:val="LO-normal"/>
        <w:spacing w:before="20" w:after="160"/>
        <w:jc w:val="center"/>
      </w:pPr>
      <w:r>
        <w:rPr>
          <w:rFonts w:ascii="Verdana" w:hAnsi="Verdana"/>
          <w:color w:val="646464"/>
          <w:sz w:val="16"/>
        </w:rPr>
        <w:t>Fonte: Autores (2026).</w:t>
      </w:r>
    </w:p>
    <w:p>
      <w:pPr>
        <w:pStyle w:val="LO-normal"/>
        <w:keepNext/>
        <w:spacing w:before="160" w:after="40"/>
      </w:pPr>
      <w:r>
        <w:rPr>
          <w:rFonts w:ascii="Verdana" w:hAnsi="Verdana"/>
          <w:b/>
          <w:color w:val="002060"/>
          <w:sz w:val="20"/>
        </w:rPr>
        <w:t>3.4.3 Governança, Integridade e Requisitos de Qualidade</w:t>
      </w:r>
    </w:p>
    <w:p>
      <w:pPr>
        <w:pStyle w:val="LO-normal"/>
        <w:spacing w:line="276" w:lineRule="auto" w:before="0" w:after="0"/>
        <w:ind w:firstLine="706"/>
        <w:jc w:val="both"/>
      </w:pPr>
      <w:r>
        <w:rPr>
          <w:rFonts w:ascii="Verdana" w:hAnsi="Verdana"/>
          <w:i w:val="0"/>
          <w:color w:val="212121"/>
          <w:sz w:val="18"/>
        </w:rPr>
        <w:t>As rotinas de ingestão via API SGS/BACEN contam com validação de tipos, verificação de limites estocásticos e rastreabilidade completa de código, assegurando a reprodutibilidade dos experimentos computacionais.</w:t>
      </w:r>
    </w:p>
    <w:p>
      <w:pPr>
        <w:pStyle w:val="Ttulo2"/>
        <w:keepNext/>
        <w:spacing w:before="280" w:after="80"/>
      </w:pPr>
      <w:r>
        <w:rPr>
          <w:rFonts w:ascii="Verdana" w:hAnsi="Verdana"/>
          <w:b/>
          <w:color w:val="002060"/>
          <w:sz w:val="22"/>
        </w:rPr>
        <w:t>4 CONSIDERAÇÕES FINAIS E TRABALHOS FUTUROS</w:t>
      </w:r>
    </w:p>
    <w:p>
      <w:pPr>
        <w:pStyle w:val="LO-normal"/>
        <w:spacing w:line="276" w:lineRule="auto" w:before="0" w:after="0"/>
        <w:ind w:firstLine="706"/>
        <w:jc w:val="both"/>
      </w:pPr>
      <w:r>
        <w:rPr>
          <w:rFonts w:ascii="Verdana" w:hAnsi="Verdana"/>
          <w:i w:val="0"/>
          <w:color w:val="212121"/>
          <w:sz w:val="18"/>
        </w:rPr>
        <w:t>O presente estudo estruturou com rigor metodológico o pipeline de dados para o enfrentamento de um dos mais desafiadores problemas econométricos da economia brasileira: a modelagem e previsão do IPCA. Ao longo de 174 meses contínuos (2012–2026), articulou-se a coleta automatizada de 29 variáveis macroeconômicas oficiais, estabelecendo rotinas robustas de higienização, tratamento de zeros contábeis e imputação causal temporal estrita, imune a vazamentos preditivos (zero data leakage).</w:t>
      </w:r>
    </w:p>
    <w:p>
      <w:pPr>
        <w:pStyle w:val="LO-normal"/>
        <w:spacing w:line="276" w:lineRule="auto" w:before="0" w:after="0"/>
        <w:ind w:firstLine="706"/>
        <w:jc w:val="both"/>
      </w:pPr>
      <w:r>
        <w:rPr>
          <w:rFonts w:ascii="Verdana" w:hAnsi="Verdana"/>
          <w:i w:val="0"/>
          <w:color w:val="212121"/>
          <w:sz w:val="18"/>
        </w:rPr>
        <w:t>A análise exploratória descritiva comprovou as propriedades teóricas da série: a presença de assimetria positiva (+0,53) e caudas pesadas com cinco outliers históricos acentuados evidencia que a inflação brasileira não pode ser modelada sob premissas gaussianas estritas. Além disso, a categorização em regimes nominais revelou que mais de 40% das observações operaram acima do teto estipulado pelas autoridades monetárias, ratificando a relevância de variáveis de pressão externa (como o câmbio PTAX e combustíveis) para a antecipação de mudanças de regime.</w:t>
      </w:r>
    </w:p>
    <w:p>
      <w:pPr>
        <w:pStyle w:val="LO-normal"/>
        <w:spacing w:line="276" w:lineRule="auto" w:before="0" w:after="0"/>
        <w:ind w:firstLine="706"/>
        <w:jc w:val="both"/>
      </w:pPr>
      <w:r>
        <w:rPr>
          <w:rFonts w:ascii="Verdana" w:hAnsi="Verdana"/>
          <w:i w:val="0"/>
          <w:color w:val="212121"/>
          <w:sz w:val="18"/>
        </w:rPr>
        <w:t>Como desdobramentos imediatos para a próxima etapa do projeto, delineiam-se:</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color w:val="212121"/>
          <w:sz w:val="18"/>
        </w:rPr>
        <w:t>A implementação dos algoritmos bioinspirados de seleção de atributos (Algoritmos Genéticos e PSO) para identificar a combinação parcimoniosa ótima de variáveis exógenas e defasagens temporais [8, 11];</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color w:val="212121"/>
          <w:sz w:val="18"/>
        </w:rPr>
        <w:t>A calibração da arquitetura híbrida de previsão: um componente linear ARIMAX para absorver a inércia autoregressiva estocástica, acoplado a um regressor Random Forest responsável por capturar as interações não lineares sobre os resíduos [14, 18];</w:t>
      </w:r>
    </w:p>
    <w:p>
      <w:pPr>
        <w:pStyle w:val="LO-normal"/>
        <w:spacing w:line="276" w:lineRule="auto" w:before="0" w:after="40"/>
        <w:ind w:left="504" w:hanging="288"/>
        <w:jc w:val="both"/>
      </w:pPr>
      <w:r>
        <w:rPr>
          <w:rFonts w:ascii="Verdana" w:hAnsi="Verdana"/>
          <w:b/>
          <w:color w:val="002060"/>
          <w:sz w:val="18"/>
        </w:rPr>
        <w:t xml:space="preserve">•  </w:t>
      </w:r>
      <w:r>
        <w:rPr>
          <w:rFonts w:ascii="Verdana" w:hAnsi="Verdana"/>
          <w:color w:val="212121"/>
          <w:sz w:val="18"/>
        </w:rPr>
        <w:t>A avaliação comparativa de acurácia através de janelas temporais deslizantes (rolling windows) de 1 a 12 meses à frente frente aos benchmarks econométricos clássicos [6, 9].</w:t>
      </w:r>
    </w:p>
    <w:p>
      <w:pPr>
        <w:pStyle w:val="Ttulo2"/>
        <w:keepNext/>
        <w:spacing w:before="280" w:after="80"/>
      </w:pPr>
      <w:r>
        <w:rPr>
          <w:rFonts w:ascii="Verdana" w:hAnsi="Verdana"/>
          <w:b/>
          <w:color w:val="002060"/>
          <w:sz w:val="22"/>
        </w:rPr>
        <w:t>REFERÊNCIAS</w:t>
      </w:r>
    </w:p>
    <w:p>
      <w:pPr>
        <w:pStyle w:val="LO-normal"/>
        <w:spacing w:line="252" w:lineRule="auto" w:before="0" w:after="80"/>
        <w:ind w:firstLine="0"/>
        <w:jc w:val="left"/>
      </w:pPr>
      <w:r>
        <w:rPr>
          <w:rFonts w:ascii="Verdana" w:hAnsi="Verdana"/>
          <w:color w:val="212121"/>
          <w:sz w:val="16"/>
        </w:rPr>
        <w:t>[1] BOX, G. E.; JENKINS, G. M.; REINSEL, G. C.; LJUNG, G. M. Time Series Analysis: Forecasting and Control. 5. ed. Hoboken: John Wiley &amp; Sons, 2015.</w:t>
      </w:r>
    </w:p>
    <w:p>
      <w:pPr>
        <w:pStyle w:val="LO-normal"/>
        <w:spacing w:line="252" w:lineRule="auto" w:before="0" w:after="80"/>
        <w:ind w:firstLine="0"/>
        <w:jc w:val="left"/>
      </w:pPr>
      <w:r>
        <w:rPr>
          <w:rFonts w:ascii="Verdana" w:hAnsi="Verdana"/>
          <w:color w:val="212121"/>
          <w:sz w:val="16"/>
        </w:rPr>
        <w:t>[2] BANCO CENTRAL DO BRASIL (BACEN). Sistema Gerenciador de Séries Temporais (SGS). Brasília: BACEN, 2026. Disponível em: &lt;https://www3.bcb.gov.br/sgspub/&gt;. Acesso em: 16 set. 2026.</w:t>
      </w:r>
    </w:p>
    <w:p>
      <w:pPr>
        <w:pStyle w:val="LO-normal"/>
        <w:spacing w:line="252" w:lineRule="auto" w:before="0" w:after="80"/>
        <w:ind w:firstLine="0"/>
        <w:jc w:val="left"/>
      </w:pPr>
      <w:r>
        <w:rPr>
          <w:rFonts w:ascii="Verdana" w:hAnsi="Verdana"/>
          <w:color w:val="212121"/>
          <w:sz w:val="16"/>
        </w:rPr>
        <w:t>[3] BANCO CENTRAL DO BRASIL (BACEN). Relatório de Inflação, v. 26, n. 2. Brasília: Banco Central do Brasil, 2024.</w:t>
      </w:r>
    </w:p>
    <w:p>
      <w:pPr>
        <w:pStyle w:val="LO-normal"/>
        <w:spacing w:line="252" w:lineRule="auto" w:before="0" w:after="80"/>
        <w:ind w:firstLine="0"/>
        <w:jc w:val="left"/>
      </w:pPr>
      <w:r>
        <w:rPr>
          <w:rFonts w:ascii="Verdana" w:hAnsi="Verdana"/>
          <w:color w:val="212121"/>
          <w:sz w:val="16"/>
        </w:rPr>
        <w:t>[4] BLANCHARD, O. Macroeconomia. 7. ed. São Paulo: Pearson, 2017.</w:t>
      </w:r>
    </w:p>
    <w:p>
      <w:pPr>
        <w:pStyle w:val="LO-normal"/>
        <w:spacing w:line="252" w:lineRule="auto" w:before="0" w:after="80"/>
        <w:ind w:firstLine="0"/>
        <w:jc w:val="left"/>
      </w:pPr>
      <w:r>
        <w:rPr>
          <w:rFonts w:ascii="Verdana" w:hAnsi="Verdana"/>
          <w:color w:val="212121"/>
          <w:sz w:val="16"/>
        </w:rPr>
        <w:t>[5] BRESSER-PEREIRA, L. C.; NAKANO, Y. A Teoria da Inflação Inercial. São Paulo: Brasiliense, 1984.</w:t>
      </w:r>
    </w:p>
    <w:p>
      <w:pPr>
        <w:pStyle w:val="LO-normal"/>
        <w:spacing w:line="252" w:lineRule="auto" w:before="0" w:after="80"/>
        <w:ind w:firstLine="0"/>
        <w:jc w:val="left"/>
      </w:pPr>
      <w:r>
        <w:rPr>
          <w:rFonts w:ascii="Verdana" w:hAnsi="Verdana"/>
          <w:color w:val="212121"/>
          <w:sz w:val="16"/>
        </w:rPr>
        <w:t>[6] GARCIA, M. G.; MEDEIROS, M. C.; VASCONCELOS, G. F. Real-time inflation forecasting with high-dimensional data: the case of Brazil. International Journal of Forecasting, v. 33, n. 3, p. 679–693, 2017.</w:t>
      </w:r>
    </w:p>
    <w:p>
      <w:pPr>
        <w:pStyle w:val="LO-normal"/>
        <w:spacing w:line="252" w:lineRule="auto" w:before="0" w:after="80"/>
        <w:ind w:firstLine="0"/>
        <w:jc w:val="left"/>
      </w:pPr>
      <w:r>
        <w:rPr>
          <w:rFonts w:ascii="Verdana" w:hAnsi="Verdana"/>
          <w:color w:val="212121"/>
          <w:sz w:val="16"/>
        </w:rPr>
        <w:t>[7] HASTIE, T.; TIBSHIRANI, R.; FRIEDMAN, J. The Elements of Statistical Learning: Data Mining, Inference, and Prediction. 2. ed. New York: Springer, 2009.</w:t>
      </w:r>
    </w:p>
    <w:p>
      <w:pPr>
        <w:pStyle w:val="LO-normal"/>
        <w:spacing w:line="252" w:lineRule="auto" w:before="0" w:after="80"/>
        <w:ind w:firstLine="0"/>
        <w:jc w:val="left"/>
      </w:pPr>
      <w:r>
        <w:rPr>
          <w:rFonts w:ascii="Verdana" w:hAnsi="Verdana"/>
          <w:color w:val="212121"/>
          <w:sz w:val="16"/>
        </w:rPr>
        <w:t>[8] HOLLAND, J. H. Adaptation in Natural and Artificial Systems. Cambridge: MIT Press, 1992.</w:t>
      </w:r>
    </w:p>
    <w:p>
      <w:pPr>
        <w:pStyle w:val="LO-normal"/>
        <w:spacing w:line="252" w:lineRule="auto" w:before="0" w:after="80"/>
        <w:ind w:firstLine="0"/>
        <w:jc w:val="left"/>
      </w:pPr>
      <w:r>
        <w:rPr>
          <w:rFonts w:ascii="Verdana" w:hAnsi="Verdana"/>
          <w:color w:val="212121"/>
          <w:sz w:val="16"/>
        </w:rPr>
        <w:t>[9] HYNDMAN, R. J.; ATHANASOPOULOS, G. Forecasting: Principles and Practice. 3. ed. Melbourne: OTexts, 2021.</w:t>
      </w:r>
    </w:p>
    <w:p>
      <w:pPr>
        <w:pStyle w:val="LO-normal"/>
        <w:spacing w:line="252" w:lineRule="auto" w:before="0" w:after="80"/>
        <w:ind w:firstLine="0"/>
        <w:jc w:val="left"/>
      </w:pPr>
      <w:r>
        <w:rPr>
          <w:rFonts w:ascii="Verdana" w:hAnsi="Verdana"/>
          <w:color w:val="212121"/>
          <w:sz w:val="16"/>
        </w:rPr>
        <w:t>[10] INSTITUTO BRASILEIRO DE GEOGRAFIA E ESTATÍSTICA (IBGE). Sistema Nacional de Índices de Preços ao Consumidor (SNIPC): Metodologia do IPCA e INPC. Rio de Janeiro: IBGE, 2020.</w:t>
      </w:r>
    </w:p>
    <w:p>
      <w:pPr>
        <w:pStyle w:val="LO-normal"/>
        <w:spacing w:line="252" w:lineRule="auto" w:before="0" w:after="80"/>
        <w:ind w:firstLine="0"/>
        <w:jc w:val="left"/>
      </w:pPr>
      <w:r>
        <w:rPr>
          <w:rFonts w:ascii="Verdana" w:hAnsi="Verdana"/>
          <w:color w:val="212121"/>
          <w:sz w:val="16"/>
        </w:rPr>
        <w:t>[11] KENNEDY, J.; EBERHART, R. Particle swarm optimization. In: Proceedings of ICNN'95 - IEEE International Conference on Neural Networks, v. 4, p. 1942–1948, 1995.</w:t>
      </w:r>
    </w:p>
    <w:p>
      <w:pPr>
        <w:pStyle w:val="LO-normal"/>
        <w:spacing w:line="252" w:lineRule="auto" w:before="0" w:after="80"/>
        <w:ind w:firstLine="0"/>
        <w:jc w:val="left"/>
      </w:pPr>
      <w:r>
        <w:rPr>
          <w:rFonts w:ascii="Verdana" w:hAnsi="Verdana"/>
          <w:color w:val="212121"/>
          <w:sz w:val="16"/>
        </w:rPr>
        <w:t>[12] KHANDANI, A. E.; KIM, A. J.; LO, A. W. Consumer credit-risk models via machine-learning algorithms. Journal of Banking &amp; Finance, v. 34, n. 11, p. 2767–2787, 2010.</w:t>
      </w:r>
    </w:p>
    <w:p>
      <w:pPr>
        <w:pStyle w:val="LO-normal"/>
        <w:spacing w:line="252" w:lineRule="auto" w:before="0" w:after="80"/>
        <w:ind w:firstLine="0"/>
        <w:jc w:val="left"/>
      </w:pPr>
      <w:r>
        <w:rPr>
          <w:rFonts w:ascii="Verdana" w:hAnsi="Verdana"/>
          <w:color w:val="212121"/>
          <w:sz w:val="16"/>
        </w:rPr>
        <w:t>[13] MANKIW, N. G. Macroeconomia. 10. ed. Rio de Janeiro: LTC, 2021.</w:t>
      </w:r>
    </w:p>
    <w:p>
      <w:pPr>
        <w:pStyle w:val="LO-normal"/>
        <w:spacing w:line="252" w:lineRule="auto" w:before="0" w:after="80"/>
        <w:ind w:firstLine="0"/>
        <w:jc w:val="left"/>
      </w:pPr>
      <w:r>
        <w:rPr>
          <w:rFonts w:ascii="Verdana" w:hAnsi="Verdana"/>
          <w:color w:val="212121"/>
          <w:sz w:val="16"/>
        </w:rPr>
        <w:t>[14] MEDEIROS, M. C.; VASCONCELOS, G. F.; VEIGA, Á.; ZILBERMAN, E. Forecasting inflation in a data-rich environment: the benefits of machine learning methods. Journal of Business &amp; Economic Statistics, v. 39, n. 1, p. 98–119, 2021.</w:t>
      </w:r>
    </w:p>
    <w:p>
      <w:pPr>
        <w:pStyle w:val="LO-normal"/>
        <w:spacing w:line="252" w:lineRule="auto" w:before="0" w:after="80"/>
        <w:ind w:firstLine="0"/>
        <w:jc w:val="left"/>
      </w:pPr>
      <w:r>
        <w:rPr>
          <w:rFonts w:ascii="Verdana" w:hAnsi="Verdana"/>
          <w:color w:val="212121"/>
          <w:sz w:val="16"/>
        </w:rPr>
        <w:t>[15] PEDREGOSA, F. et al. Scikit-learn: Machine Learning in Python. Journal of Machine Learning Research, v. 12, p. 2825–2830, 2011.</w:t>
      </w:r>
    </w:p>
    <w:p>
      <w:pPr>
        <w:pStyle w:val="LO-normal"/>
        <w:spacing w:line="252" w:lineRule="auto" w:before="0" w:after="80"/>
        <w:ind w:firstLine="0"/>
        <w:jc w:val="left"/>
      </w:pPr>
      <w:r>
        <w:rPr>
          <w:rFonts w:ascii="Verdana" w:hAnsi="Verdana"/>
          <w:color w:val="212121"/>
          <w:sz w:val="16"/>
        </w:rPr>
        <w:t>[16] SIMONSEN, M. H. 30 Anos de Indexação. Rio de Janeiro: Editora FGV, 1995.</w:t>
      </w:r>
    </w:p>
    <w:p>
      <w:pPr>
        <w:pStyle w:val="LO-normal"/>
        <w:spacing w:line="252" w:lineRule="auto" w:before="0" w:after="80"/>
        <w:ind w:firstLine="0"/>
        <w:jc w:val="left"/>
      </w:pPr>
      <w:r>
        <w:rPr>
          <w:rFonts w:ascii="Verdana" w:hAnsi="Verdana"/>
          <w:color w:val="212121"/>
          <w:sz w:val="16"/>
        </w:rPr>
        <w:t>[17] TAYLOR, J. B. Discretion versus policy rules in practice. Carnegie-Rochester Conference Series on Public Policy, v. 39, p. 195–214, 1993.</w:t>
      </w:r>
    </w:p>
    <w:p>
      <w:pPr>
        <w:pStyle w:val="LO-normal"/>
        <w:spacing w:line="252" w:lineRule="auto" w:before="0" w:after="80"/>
        <w:ind w:firstLine="0"/>
        <w:jc w:val="left"/>
      </w:pPr>
      <w:r>
        <w:rPr>
          <w:rFonts w:ascii="Verdana" w:hAnsi="Verdana"/>
          <w:color w:val="212121"/>
          <w:sz w:val="16"/>
        </w:rPr>
        <w:t>[18] ZHANG, G. P. Time series forecasting using a hybrid ARIMA and neural network model. Neurocomputing, v. 50, p. 159–175, 2003.</w:t>
      </w:r>
    </w:p>
    <w:sectPr w:rsidR="00CD3A14">
      <w:pgSz w:w="12240" w:h="15840"/>
      <w:pgMar w:top="1134" w:right="1134" w:bottom="1134" w:left="1134" w:header="454" w:footer="510" w:gutter="0"/>
      <w:cols w:num="2" w:space="652" w:equalWidth="0">
        <w:col w:w="4682" w:space="652"/>
        <w:col w:w="4638"/>
      </w:cols>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4B4C" w:rsidRDefault="00244B4C">
      <w:pPr>
        <w:spacing w:after="0"/>
      </w:pPr>
      <w:r>
        <w:separator/>
      </w:r>
    </w:p>
  </w:endnote>
  <w:endnote w:type="continuationSeparator" w:id="0">
    <w:p w:rsidR="00244B4C" w:rsidRDefault="00244B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Segoe Print"/>
    <w:charset w:val="00"/>
    <w:family w:val="auto"/>
    <w:pitch w:val="default"/>
    <w:sig w:usb0="800000AF" w:usb1="1001ECEA" w:usb2="00000000" w:usb3="00000000" w:csb0="00000001" w:csb1="00000000"/>
  </w:font>
  <w:font w:name="Liberation Mono">
    <w:altName w:val="Courier New"/>
    <w:charset w:val="00"/>
    <w:family w:val="modern"/>
    <w:pitch w:val="default"/>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iberation Sans">
    <w:altName w:val="Microsoft Sans Serif"/>
    <w:charset w:val="00"/>
    <w:family w:val="swiss"/>
    <w:pitch w:val="default"/>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2E6133">
    <w:pPr>
      <w:pStyle w:val="LO-normal"/>
      <w:tabs>
        <w:tab w:val="center" w:pos="175"/>
      </w:tabs>
      <w:spacing w:beforeLines="20" w:before="48"/>
      <w:jc w:val="right"/>
      <w:rPr>
        <w:color w:val="002060"/>
        <w:sz w:val="18"/>
        <w:szCs w:val="18"/>
      </w:rPr>
    </w:pPr>
    <w:r>
      <w:rPr>
        <w:noProof/>
      </w:rPr>
      <mc:AlternateContent>
        <mc:Choice Requires="wps">
          <w:drawing>
            <wp:anchor distT="0" distB="0" distL="114300" distR="114300" simplePos="0" relativeHeight="251657728" behindDoc="0" locked="0" layoutInCell="1" allowOverlap="1">
              <wp:simplePos x="0" y="0"/>
              <wp:positionH relativeFrom="column">
                <wp:posOffset>-14605</wp:posOffset>
              </wp:positionH>
              <wp:positionV relativeFrom="paragraph">
                <wp:posOffset>10795</wp:posOffset>
              </wp:positionV>
              <wp:extent cx="6343015" cy="635"/>
              <wp:effectExtent l="10160" t="6350" r="9525" b="12065"/>
              <wp:wrapNone/>
              <wp:docPr id="7" name="Linha 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015" cy="635"/>
                      </a:xfrm>
                      <a:prstGeom prst="line">
                        <a:avLst/>
                      </a:prstGeom>
                      <a:noFill/>
                      <a:ln w="952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C113C3" id="Linha 103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5pt" to="498.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" strokecolor="#002060">
              <v:fill o:detectmouseclick="t"/>
            </v:line>
          </w:pict>
        </mc:Fallback>
      </mc:AlternateContent>
    </w:r>
    <w:r>
      <w:rPr>
        <w:noProof/>
      </w:rPr>
      <w:drawing>
        <wp:inline distT="0" distB="0" distL="0" distR="0">
          <wp:extent cx="654050" cy="228600"/>
          <wp:effectExtent l="0" t="0" r="0" b="0"/>
          <wp:docPr id="5" name="Imagem 34" descr="cc by 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4" descr="cc by nc"/>
                  <pic:cNvPicPr>
                    <a:picLocks noChangeAspect="1" noChangeArrowheads="1"/>
                  </pic:cNvPicPr>
                </pic:nvPicPr>
                <pic:blipFill>
                  <a:blip r:embed="rId1">
                    <a:lum bright="70000" contrast="-70000"/>
                    <a:grayscl/>
                    <a:extLst>
                      <a:ext uri="{28A0092B-C50C-407E-A947-70E740481C1C}">
                        <a14:useLocalDpi xmlns:a14="http://schemas.microsoft.com/office/drawing/2010/main" val="0"/>
                      </a:ext>
                    </a:extLst>
                  </a:blip>
                  <a:srcRect/>
                  <a:stretch>
                    <a:fillRect/>
                  </a:stretch>
                </pic:blipFill>
                <pic:spPr bwMode="auto">
                  <a:xfrm>
                    <a:off x="0" y="0"/>
                    <a:ext cx="654050" cy="228600"/>
                  </a:xfrm>
                  <a:prstGeom prst="rect">
                    <a:avLst/>
                  </a:prstGeom>
                  <a:noFill/>
                  <a:ln>
                    <a:noFill/>
                  </a:ln>
                  <a:effectLst/>
                </pic:spPr>
              </pic:pic>
            </a:graphicData>
          </a:graphic>
        </wp:inline>
      </w:drawing>
    </w:r>
    <w:r>
      <w:rPr>
        <w:noProof/>
      </w:rPr>
      <mc:AlternateContent>
        <mc:Choice Requires="wps">
          <w:drawing>
            <wp:anchor distT="0" distB="0" distL="114300" distR="114300" simplePos="0" relativeHeight="251655680" behindDoc="0" locked="0" layoutInCell="1" allowOverlap="1">
              <wp:simplePos x="0" y="0"/>
              <wp:positionH relativeFrom="margin">
                <wp:align>left</wp:align>
              </wp:positionH>
              <wp:positionV relativeFrom="paragraph">
                <wp:posOffset>97155</wp:posOffset>
              </wp:positionV>
              <wp:extent cx="127635" cy="157480"/>
              <wp:effectExtent l="0" t="0" r="0" b="0"/>
              <wp:wrapNone/>
              <wp:docPr id="6" name="Caixa de texto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574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D3A14" w:rsidRDefault="00CD3A14">
                          <w:pPr>
                            <w:pStyle w:val="Rodap"/>
                          </w:pPr>
                          <w:r>
                            <w:fldChar w:fldCharType="begin"/>
                          </w:r>
                          <w:r>
                            <w:instrText xml:space="preserve"> PAGE  \* MERGEFORMAT </w:instrText>
                          </w:r>
                          <w:r>
                            <w:fldChar w:fldCharType="separate"/>
                          </w:r>
                          <w:r w:rsidR="001C5811" w:rsidRPr="001C5811">
                            <w:rPr>
                              <w:noProof/>
                              <w:lang w:val="pt-BR" w:eastAsia="pt-BR"/>
                            </w:rPr>
                            <w:t>8</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026" o:spid="_x0000_s1030" type="#_x0000_t202" style="position:absolute;left:0;text-align:left;margin-left:0;margin-top:7.65pt;width:10.05pt;height:12.4pt;z-index:251655680;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" filled="f" stroked="f">
              <v:textbox style="mso-fit-shape-to-text:t" inset="0,0,0,0">
                <w:txbxContent>
                  <w:p w:rsidR="00CD3A14" w:rsidRDefault="00CD3A14">
                    <w:pPr>
                      <w:pStyle w:val="Rodap"/>
                    </w:pPr>
                    <w:r>
                      <w:fldChar w:fldCharType="begin"/>
                    </w:r>
                    <w:r>
                      <w:instrText xml:space="preserve"> PAGE  \* MERGEFORMAT </w:instrText>
                    </w:r>
                    <w:r>
                      <w:fldChar w:fldCharType="separate"/>
                    </w:r>
                    <w:r w:rsidR="001C5811" w:rsidRPr="001C5811">
                      <w:rPr>
                        <w:noProof/>
                        <w:lang w:val="pt-BR" w:eastAsia="pt-BR"/>
                      </w:rPr>
                      <w:t>8</w:t>
                    </w:r>
                    <w:r>
                      <w:fldChar w:fldCharType="end"/>
                    </w:r>
                  </w:p>
                </w:txbxContent>
              </v:textbox>
              <w10:wrap anchorx="margin"/>
            </v:shape>
          </w:pict>
        </mc:Fallback>
      </mc:AlternateContent>
    </w:r>
    <w:r w:rsidR="00CD3A14">
      <w:rPr>
        <w:color w:val="002060"/>
        <w:sz w:val="18"/>
        <w:szCs w:val="18"/>
      </w:rPr>
      <w:t xml:space="preserve">         </w:t>
    </w:r>
  </w:p>
  <w:p w:rsidR="00CD3A14" w:rsidRDefault="00CD3A14">
    <w:pPr>
      <w:pStyle w:val="LO-normal"/>
      <w:tabs>
        <w:tab w:val="center" w:pos="175"/>
      </w:tabs>
      <w:wordWrap w:val="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2E6133">
    <w:pPr>
      <w:pStyle w:val="LO-normal"/>
      <w:spacing w:line="252" w:lineRule="auto"/>
      <w:ind w:right="113"/>
      <w:jc w:val="both"/>
      <w:rPr>
        <w:rFonts w:eastAsia="SimSun"/>
        <w:color w:val="002060"/>
        <w:sz w:val="16"/>
        <w:szCs w:val="16"/>
      </w:rPr>
    </w:pPr>
    <w:r>
      <w:rPr>
        <w:noProof/>
        <w:sz w:val="16"/>
      </w:rPr>
      <mc:AlternateContent>
        <mc:Choice Requires="wps">
          <w:drawing>
            <wp:anchor distT="0" distB="0" distL="114300" distR="114300" simplePos="0" relativeHeight="251659776" behindDoc="0" locked="0" layoutInCell="1" allowOverlap="1">
              <wp:simplePos x="0" y="0"/>
              <wp:positionH relativeFrom="column">
                <wp:posOffset>22225</wp:posOffset>
              </wp:positionH>
              <wp:positionV relativeFrom="paragraph">
                <wp:posOffset>43815</wp:posOffset>
              </wp:positionV>
              <wp:extent cx="6306185" cy="635"/>
              <wp:effectExtent l="8890" t="13970" r="9525" b="13970"/>
              <wp:wrapNone/>
              <wp:docPr id="3" name="Lin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06185" cy="635"/>
                      </a:xfrm>
                      <a:prstGeom prst="line">
                        <a:avLst/>
                      </a:prstGeom>
                      <a:noFill/>
                      <a:ln w="9525">
                        <a:solidFill>
                          <a:srgbClr val="00206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FB15A7" id="Linha 20"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3.45pt" to="498.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" strokecolor="#002060"/>
          </w:pict>
        </mc:Fallback>
      </mc:AlternateContent>
    </w:r>
  </w:p>
  <w:p w:rsidR="00CD3A14" w:rsidRDefault="00CD3A14">
    <w:pPr>
      <w:pStyle w:val="LO-normal"/>
      <w:spacing w:afterLines="20" w:after="48" w:line="252" w:lineRule="auto"/>
      <w:ind w:left="11" w:right="113" w:firstLine="363"/>
      <w:jc w:val="right"/>
    </w:pPr>
    <w:r>
      <w:rPr>
        <w:rFonts w:ascii="Verdana" w:hAnsi="Verdana"/>
        <w:b/>
        <w:color w:val="002060"/>
        <w:sz w:val="16"/>
        <w:szCs w:val="18"/>
      </w:rPr>
      <w:t>DOI: 10.xxxx/xxxx</w:t>
    </w:r>
  </w:p>
  <w:p w:rsidR="00CD3A14" w:rsidRDefault="002E6133">
    <w:pPr>
      <w:pStyle w:val="LO-normal"/>
      <w:spacing w:line="252" w:lineRule="auto"/>
      <w:ind w:left="10" w:right="111" w:firstLine="360"/>
      <w:jc w:val="right"/>
    </w:pPr>
    <w:r>
      <w:rPr>
        <w:noProof/>
        <w:sz w:val="18"/>
      </w:rPr>
      <mc:AlternateContent>
        <mc:Choice Requires="wps">
          <w:drawing>
            <wp:anchor distT="0" distB="0" distL="114300" distR="114300" simplePos="0" relativeHeight="251654656" behindDoc="0" locked="0" layoutInCell="1" allowOverlap="1">
              <wp:simplePos x="0" y="0"/>
              <wp:positionH relativeFrom="margin">
                <wp:align>left</wp:align>
              </wp:positionH>
              <wp:positionV relativeFrom="paragraph">
                <wp:posOffset>104775</wp:posOffset>
              </wp:positionV>
              <wp:extent cx="127635" cy="157480"/>
              <wp:effectExtent l="0" t="0" r="0" b="4445"/>
              <wp:wrapNone/>
              <wp:docPr id="2" name="Caixa de texto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3A14" w:rsidRDefault="00CD3A14">
                          <w:pPr>
                            <w:pStyle w:val="Rodap"/>
                          </w:pPr>
                          <w:r>
                            <w:fldChar w:fldCharType="begin"/>
                          </w:r>
                          <w:r>
                            <w:instrText xml:space="preserve"> PAGE  \* MERGEFORMAT </w:instrText>
                          </w:r>
                          <w:r>
                            <w:fldChar w:fldCharType="separate"/>
                          </w:r>
                          <w:r w:rsidR="001C5811" w:rsidRPr="001C5811">
                            <w:rPr>
                              <w:noProof/>
                              <w:lang w:val="pt-BR" w:eastAsia="pt-BR"/>
                            </w:rPr>
                            <w:t>7</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025" o:spid="_x0000_s1031" type="#_x0000_t202" style="position:absolute;left:0;text-align:left;margin-left:0;margin-top:8.25pt;width:10.05pt;height:12.4pt;z-index:25165465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" filled="f" stroked="f">
              <v:textbox style="mso-fit-shape-to-text:t" inset="0,0,0,0">
                <w:txbxContent>
                  <w:p w:rsidR="00CD3A14" w:rsidRDefault="00CD3A14">
                    <w:pPr>
                      <w:pStyle w:val="Rodap"/>
                    </w:pPr>
                    <w:r>
                      <w:fldChar w:fldCharType="begin"/>
                    </w:r>
                    <w:r>
                      <w:instrText xml:space="preserve"> PAGE  \* MERGEFORMAT </w:instrText>
                    </w:r>
                    <w:r>
                      <w:fldChar w:fldCharType="separate"/>
                    </w:r>
                    <w:r w:rsidR="001C5811" w:rsidRPr="001C5811">
                      <w:rPr>
                        <w:noProof/>
                        <w:lang w:val="pt-BR" w:eastAsia="pt-BR"/>
                      </w:rPr>
                      <w:t>7</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10A0" w:rsidRDefault="002E6133">
    <w:pPr>
      <w:pStyle w:val="Rodap"/>
    </w:pPr>
    <w:r>
      <w:rPr>
        <w:b/>
        <w:noProof/>
        <w:color w:val="1F497D"/>
        <w:sz w:val="18"/>
        <w:szCs w:val="18"/>
      </w:rPr>
      <w:drawing>
        <wp:inline distT="0" distB="0" distL="0" distR="0">
          <wp:extent cx="2165350" cy="482600"/>
          <wp:effectExtent l="0" t="0" r="6350" b="0"/>
          <wp:docPr id="4" name="Imagem 38" descr="Marca_REPA_azul-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8" descr="Marca_REPA_azul-09"/>
                  <pic:cNvPicPr>
                    <a:picLocks noChangeAspect="1" noChangeArrowheads="1"/>
                  </pic:cNvPicPr>
                </pic:nvPicPr>
                <pic:blipFill>
                  <a:blip r:embed="rId1">
                    <a:extLst>
                      <a:ext uri="{28A0092B-C50C-407E-A947-70E740481C1C}">
                        <a14:useLocalDpi xmlns:a14="http://schemas.microsoft.com/office/drawing/2010/main" val="0"/>
                      </a:ext>
                    </a:extLst>
                  </a:blip>
                  <a:srcRect l="26785" t="28136" b="21655"/>
                  <a:stretch>
                    <a:fillRect/>
                  </a:stretch>
                </pic:blipFill>
                <pic:spPr bwMode="auto">
                  <a:xfrm>
                    <a:off x="0" y="0"/>
                    <a:ext cx="2165350" cy="482600"/>
                  </a:xfrm>
                  <a:prstGeom prst="rect">
                    <a:avLst/>
                  </a:prstGeom>
                  <a:noFill/>
                  <a:ln>
                    <a:noFill/>
                  </a:ln>
                  <a:effectLst/>
                </pic:spPr>
              </pic:pic>
            </a:graphicData>
          </a:graphic>
        </wp:inline>
      </w:drawing>
    </w:r>
  </w:p>
  <w:p w:rsidR="000210A0" w:rsidRDefault="000210A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4B4C" w:rsidRDefault="00244B4C">
      <w:pPr>
        <w:spacing w:after="0"/>
      </w:pPr>
      <w:r>
        <w:separator/>
      </w:r>
    </w:p>
  </w:footnote>
  <w:footnote w:type="continuationSeparator" w:id="0">
    <w:p w:rsidR="00244B4C" w:rsidRDefault="00244B4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CD3A14">
    <w:pPr>
      <w:pStyle w:val="LO-normal"/>
      <w:spacing w:afterLines="20" w:after="48"/>
      <w:jc w:val="right"/>
      <w:rPr>
        <w:b/>
        <w:color w:val="1F497D"/>
        <w:sz w:val="18"/>
        <w:szCs w:val="18"/>
      </w:rPr>
    </w:pPr>
  </w:p>
  <w:p w:rsidR="00CD3A14" w:rsidRDefault="00CD3A14">
    <w:pPr>
      <w:pStyle w:val="LO-normal"/>
      <w:spacing w:afterLines="20" w:after="48"/>
      <w:jc w:val="right"/>
      <w:rPr>
        <w:b/>
        <w:color w:val="1F497D"/>
        <w:sz w:val="18"/>
        <w:szCs w:val="18"/>
      </w:rPr>
    </w:pPr>
    <w:r>
      <w:rPr>
        <w:rFonts w:ascii="Verdana" w:hAnsi="Verdana"/>
        <w:b/>
        <w:color w:val="002060"/>
        <w:sz w:val="17"/>
        <w:szCs w:val="18"/>
      </w:rPr>
      <w:t>Mineração de Séries Temporais para Previsão da Inflação</w:t>
    </w:r>
  </w:p>
  <w:p w:rsidR="00CD3A14" w:rsidRDefault="002E6133">
    <w:pPr>
      <w:pStyle w:val="LO-normal"/>
      <w:jc w:val="right"/>
      <w:rPr>
        <w:b/>
        <w:color w:val="1F497D"/>
        <w:sz w:val="18"/>
        <w:szCs w:val="18"/>
      </w:rPr>
    </w:pPr>
    <w:r>
      <w:rPr>
        <w:b/>
        <w:noProof/>
        <w:color w:val="1F497D"/>
        <w:sz w:val="18"/>
        <w:szCs w:val="18"/>
      </w:rPr>
      <mc:AlternateContent>
        <mc:Choice Requires="wps">
          <w:drawing>
            <wp:anchor distT="0" distB="0" distL="114300" distR="114300" simplePos="0" relativeHeight="251656704" behindDoc="0" locked="0" layoutInCell="1" allowOverlap="1">
              <wp:simplePos x="0" y="0"/>
              <wp:positionH relativeFrom="column">
                <wp:posOffset>-15240</wp:posOffset>
              </wp:positionH>
              <wp:positionV relativeFrom="paragraph">
                <wp:posOffset>90170</wp:posOffset>
              </wp:positionV>
              <wp:extent cx="6391275" cy="1270"/>
              <wp:effectExtent l="9525" t="12700" r="9525" b="5080"/>
              <wp:wrapNone/>
              <wp:docPr id="9" name="AutoForma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1275" cy="1270"/>
                      </a:xfrm>
                      <a:prstGeom prst="straightConnector1">
                        <a:avLst/>
                      </a:prstGeom>
                      <a:noFill/>
                      <a:ln w="952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917D470" id="_x0000_t32" coordsize="21600,21600" o:spt="32" o:oned="t" path="m,l21600,21600e" filled="f">
              <v:path arrowok="t" fillok="f" o:connecttype="none"/>
              <o:lock v:ext="edit" shapetype="t"/>
            </v:shapetype>
            <v:shape id="AutoForma 1028" o:spid="_x0000_s1026" type="#_x0000_t32" style="position:absolute;margin-left:-1.2pt;margin-top:7.1pt;width:503.25pt;height:.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" strokecolor="#002060">
              <v:fill o:detectmouseclick="t"/>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CD3A14">
    <w:pPr>
      <w:pStyle w:val="LO-normal"/>
      <w:spacing w:line="252" w:lineRule="auto"/>
      <w:rPr>
        <w:sz w:val="18"/>
      </w:rPr>
    </w:pPr>
  </w:p>
  <w:p w:rsidR="00CD3A14" w:rsidRDefault="002E6133">
    <w:pPr>
      <w:pStyle w:val="LO-normal"/>
      <w:spacing w:afterLines="20" w:after="48" w:line="252" w:lineRule="auto"/>
      <w:jc w:val="right"/>
      <w:rPr>
        <w:sz w:val="18"/>
      </w:rPr>
    </w:pPr>
    <w:r>
      <w:rPr>
        <w:rFonts w:ascii="Verdana" w:hAnsi="Verdana"/>
        <w:noProof/>
        <w:color w:val="002060"/>
        <w:sz w:val="17"/>
      </w:rPr>
      <mc:AlternateContent>
        <mc:Choice Requires="wps">
          <w:drawing>
            <wp:anchor distT="0" distB="0" distL="114300" distR="114300" simplePos="0" relativeHeight="251658752" behindDoc="0" locked="0" layoutInCell="1" allowOverlap="1">
              <wp:simplePos x="0" y="0"/>
              <wp:positionH relativeFrom="column">
                <wp:posOffset>-5715</wp:posOffset>
              </wp:positionH>
              <wp:positionV relativeFrom="paragraph">
                <wp:posOffset>177800</wp:posOffset>
              </wp:positionV>
              <wp:extent cx="6362700" cy="2540"/>
              <wp:effectExtent l="9525" t="12065" r="9525" b="13970"/>
              <wp:wrapNone/>
              <wp:docPr id="8" name="AutoForm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2540"/>
                      </a:xfrm>
                      <a:prstGeom prst="straightConnector1">
                        <a:avLst/>
                      </a:prstGeom>
                      <a:noFill/>
                      <a:ln w="95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0D1B2D" id="_x0000_t32" coordsize="21600,21600" o:spt="32" o:oned="t" path="m,l21600,21600e" filled="f">
              <v:path arrowok="t" fillok="f" o:connecttype="none"/>
              <o:lock v:ext="edit" shapetype="t"/>
            </v:shapetype>
            <v:shape id="AutoForma 1" o:spid="_x0000_s1026" type="#_x0000_t32" style="position:absolute;margin-left:-.45pt;margin-top:14pt;width:501pt;height:.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" strokecolor="#002060"/>
          </w:pict>
        </mc:Fallback>
      </mc:AlternateContent>
    </w:r>
    <w:r w:rsidR="00CD3A14">
      <w:rPr>
        <w:rFonts w:ascii="Verdana" w:hAnsi="Verdana"/>
        <w:b/>
        <w:color w:val="002060"/>
        <w:sz w:val="17"/>
        <w:szCs w:val="18"/>
      </w:rPr>
      <w:t xml:space="preserve">Revista de Engenharia e Pesquisa Aplicada, </w:t>
    </w:r>
    <w:proofErr w:type="spellStart"/>
    <w:r w:rsidR="00CD3A14">
      <w:rPr>
        <w:rFonts w:ascii="Verdana" w:hAnsi="Verdana"/>
        <w:b/>
        <w:color w:val="002060"/>
        <w:sz w:val="17"/>
        <w:szCs w:val="18"/>
      </w:rPr>
      <w:t>v. xx</w:t>
    </w:r>
    <w:proofErr w:type="spellEnd"/>
    <w:r w:rsidR="00CD3A14">
      <w:rPr>
        <w:rFonts w:ascii="Verdana" w:hAnsi="Verdana"/>
        <w:b/>
        <w:color w:val="002060"/>
        <w:sz w:val="17"/>
        <w:szCs w:val="18"/>
      </w:rPr>
      <w:t>, n. xx,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2E6133">
    <w:pPr>
      <w:pStyle w:val="Cabealho"/>
      <w:jc w:val="right"/>
    </w:pPr>
    <w:r>
      <w:rPr>
        <w:noProof/>
        <w:sz w:val="18"/>
      </w:rPr>
      <mc:AlternateContent>
        <mc:Choice Requires="wps">
          <w:drawing>
            <wp:anchor distT="0" distB="0" distL="114300" distR="114300" simplePos="0" relativeHeight="251660800" behindDoc="0" locked="0" layoutInCell="1" allowOverlap="1">
              <wp:simplePos x="0" y="0"/>
              <wp:positionH relativeFrom="column">
                <wp:posOffset>3810</wp:posOffset>
              </wp:positionH>
              <wp:positionV relativeFrom="paragraph">
                <wp:posOffset>596900</wp:posOffset>
              </wp:positionV>
              <wp:extent cx="6351905" cy="8255"/>
              <wp:effectExtent l="9525" t="9525" r="10795" b="10795"/>
              <wp:wrapNone/>
              <wp:docPr id="1" name="Lin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1905" cy="8255"/>
                      </a:xfrm>
                      <a:prstGeom prst="line">
                        <a:avLst/>
                      </a:prstGeom>
                      <a:noFill/>
                      <a:ln w="9525">
                        <a:solidFill>
                          <a:srgbClr val="00206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578CED4" id="Linha 5"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47pt" to="500.45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" strokecolor="#00206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A8A6D63"/>
    <w:multiLevelType w:val="singleLevel"/>
    <w:tmpl w:val="AA8A6D63"/>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1">
    <w:nsid w:val="FDD2FB80"/>
    <w:multiLevelType w:val="singleLevel"/>
    <w:tmpl w:val="FDD2FB80"/>
    <w:lvl w:ilvl="0">
      <w:start w:val="1"/>
      <w:numFmt w:val="bullet"/>
      <w:lvlText w:val=""/>
      <w:lvlJc w:val="left"/>
      <w:pPr>
        <w:tabs>
          <w:tab w:val="num" w:pos="420"/>
        </w:tabs>
        <w:ind w:left="420" w:hanging="420"/>
      </w:pPr>
      <w:rPr>
        <w:rFonts w:ascii="Wingdings" w:hAnsi="Wingdings" w:hint="default"/>
        <w:sz w:val="14"/>
      </w:rPr>
    </w:lvl>
  </w:abstractNum>
  <w:abstractNum w:abstractNumId="2">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077A2E0E"/>
    <w:multiLevelType w:val="singleLevel"/>
    <w:tmpl w:val="077A2E0E"/>
    <w:lvl w:ilvl="0">
      <w:start w:val="5"/>
      <w:numFmt w:val="decimal"/>
      <w:suff w:val="space"/>
      <w:lvlText w:val="%1."/>
      <w:lvlJc w:val="left"/>
    </w:lvl>
  </w:abstractNum>
  <w:abstractNum w:abstractNumId="4">
    <w:nsid w:val="10970940"/>
    <w:multiLevelType w:val="singleLevel"/>
    <w:tmpl w:val="10970940"/>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5">
    <w:nsid w:val="1AEA0AD4"/>
    <w:multiLevelType w:val="singleLevel"/>
    <w:tmpl w:val="1AEA0AD4"/>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6">
    <w:nsid w:val="1C3F435F"/>
    <w:multiLevelType w:val="singleLevel"/>
    <w:tmpl w:val="1C3F435F"/>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7">
    <w:nsid w:val="38DA997A"/>
    <w:multiLevelType w:val="singleLevel"/>
    <w:tmpl w:val="38DA997A"/>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8">
    <w:nsid w:val="59FB8CC6"/>
    <w:multiLevelType w:val="singleLevel"/>
    <w:tmpl w:val="59FB8CC6"/>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9">
    <w:nsid w:val="6D948140"/>
    <w:multiLevelType w:val="singleLevel"/>
    <w:tmpl w:val="6D948140"/>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10">
    <w:nsid w:val="7246BC61"/>
    <w:multiLevelType w:val="singleLevel"/>
    <w:tmpl w:val="7246BC61"/>
    <w:lvl w:ilvl="0">
      <w:start w:val="1"/>
      <w:numFmt w:val="bullet"/>
      <w:lvlText w:val=""/>
      <w:lvlJc w:val="left"/>
      <w:pPr>
        <w:tabs>
          <w:tab w:val="num" w:pos="420"/>
        </w:tabs>
        <w:ind w:left="420" w:hanging="420"/>
      </w:pPr>
      <w:rPr>
        <w:rFonts w:ascii="Wingdings" w:eastAsia="Verdana" w:hAnsi="Wingdings" w:hint="default"/>
        <w:sz w:val="13"/>
      </w:rPr>
    </w:lvl>
  </w:abstractNum>
  <w:num w:numId="1">
    <w:abstractNumId w:val="2"/>
  </w:num>
  <w:num w:numId="2">
    <w:abstractNumId w:val="4"/>
  </w:num>
  <w:num w:numId="3">
    <w:abstractNumId w:val="0"/>
  </w:num>
  <w:num w:numId="4">
    <w:abstractNumId w:val="5"/>
  </w:num>
  <w:num w:numId="5">
    <w:abstractNumId w:val="9"/>
  </w:num>
  <w:num w:numId="6">
    <w:abstractNumId w:val="10"/>
  </w:num>
  <w:num w:numId="7">
    <w:abstractNumId w:val="7"/>
  </w:num>
  <w:num w:numId="8">
    <w:abstractNumId w:val="8"/>
  </w:num>
  <w:num w:numId="9">
    <w:abstractNumId w:val="6"/>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04"/>
  <w:drawingGridVerticalSpacing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102"/>
    <w:rsid w:val="000210A0"/>
    <w:rsid w:val="0017076C"/>
    <w:rsid w:val="001842F2"/>
    <w:rsid w:val="001C5811"/>
    <w:rsid w:val="00244B4C"/>
    <w:rsid w:val="00266914"/>
    <w:rsid w:val="002E6133"/>
    <w:rsid w:val="00494D1A"/>
    <w:rsid w:val="00511711"/>
    <w:rsid w:val="005C436E"/>
    <w:rsid w:val="0062081C"/>
    <w:rsid w:val="0069794E"/>
    <w:rsid w:val="006C00D7"/>
    <w:rsid w:val="006D4500"/>
    <w:rsid w:val="0077502F"/>
    <w:rsid w:val="008364D1"/>
    <w:rsid w:val="00843F49"/>
    <w:rsid w:val="00882102"/>
    <w:rsid w:val="009306B2"/>
    <w:rsid w:val="00992EAB"/>
    <w:rsid w:val="009C075F"/>
    <w:rsid w:val="00A057A4"/>
    <w:rsid w:val="00AA4367"/>
    <w:rsid w:val="00B07537"/>
    <w:rsid w:val="00B52955"/>
    <w:rsid w:val="00B6077F"/>
    <w:rsid w:val="00C103EA"/>
    <w:rsid w:val="00C30414"/>
    <w:rsid w:val="00CD3A14"/>
    <w:rsid w:val="00D33670"/>
    <w:rsid w:val="02070EB5"/>
    <w:rsid w:val="0231437C"/>
    <w:rsid w:val="0D540EBD"/>
    <w:rsid w:val="0EEF5F72"/>
    <w:rsid w:val="0F7D36AC"/>
    <w:rsid w:val="10414E7C"/>
    <w:rsid w:val="160D7D24"/>
    <w:rsid w:val="1A6C4E07"/>
    <w:rsid w:val="1A80580A"/>
    <w:rsid w:val="1ACC2881"/>
    <w:rsid w:val="1D227AA5"/>
    <w:rsid w:val="209B57E2"/>
    <w:rsid w:val="27BB1B70"/>
    <w:rsid w:val="2BB176FD"/>
    <w:rsid w:val="2E942B73"/>
    <w:rsid w:val="2EA654AE"/>
    <w:rsid w:val="3159529B"/>
    <w:rsid w:val="31672AA5"/>
    <w:rsid w:val="318E16F9"/>
    <w:rsid w:val="31E230E6"/>
    <w:rsid w:val="33624BE7"/>
    <w:rsid w:val="398426A3"/>
    <w:rsid w:val="3F6A5E19"/>
    <w:rsid w:val="4090406F"/>
    <w:rsid w:val="43683C1F"/>
    <w:rsid w:val="53A516F6"/>
    <w:rsid w:val="55754B6F"/>
    <w:rsid w:val="5D4A217D"/>
    <w:rsid w:val="64BD2C08"/>
    <w:rsid w:val="6DA45B8F"/>
    <w:rsid w:val="6F3950E7"/>
    <w:rsid w:val="70C50853"/>
    <w:rsid w:val="7320117F"/>
    <w:rsid w:val="788B3E8A"/>
    <w:rsid w:val="7B387706"/>
    <w:rsid w:val="7BA97C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6B6ACEEA-B225-4AF2-B556-723DC2F6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uiPriority="69"/>
    <w:lsdException w:name="Dark List Accent 1"/>
    <w:lsdException w:name="Colorful Shading Accent 1" w:uiPriority="7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5"/>
      <w:ind w:right="71" w:firstLine="2"/>
    </w:pPr>
    <w:rPr>
      <w:rFonts w:ascii="Verdana" w:eastAsia="Verdana" w:hAnsi="Verdana" w:cs="Verdana"/>
      <w:color w:val="000000"/>
      <w:kern w:val="1"/>
    </w:rPr>
  </w:style>
  <w:style w:type="paragraph" w:styleId="Ttulo1">
    <w:name w:val="heading 1"/>
    <w:basedOn w:val="Ttulo10"/>
    <w:next w:val="Corpodetexto"/>
    <w:qFormat/>
    <w:pPr>
      <w:keepLines/>
      <w:widowControl w:val="0"/>
      <w:numPr>
        <w:numId w:val="1"/>
      </w:numPr>
      <w:tabs>
        <w:tab w:val="left" w:pos="0"/>
      </w:tabs>
      <w:spacing w:after="0"/>
      <w:outlineLvl w:val="0"/>
    </w:pPr>
    <w:rPr>
      <w:rFonts w:ascii="Verdana" w:eastAsia="Verdana" w:hAnsi="Verdana" w:cs="Verdana"/>
      <w:b/>
      <w:sz w:val="34"/>
      <w:szCs w:val="34"/>
    </w:rPr>
  </w:style>
  <w:style w:type="paragraph" w:styleId="Ttulo2">
    <w:name w:val="heading 2"/>
    <w:basedOn w:val="Ttulo10"/>
    <w:next w:val="Corpodetexto"/>
    <w:qFormat/>
    <w:pPr>
      <w:keepLines/>
      <w:widowControl w:val="0"/>
      <w:numPr>
        <w:ilvl w:val="1"/>
        <w:numId w:val="1"/>
      </w:numPr>
      <w:tabs>
        <w:tab w:val="left" w:pos="0"/>
      </w:tabs>
      <w:spacing w:after="90"/>
      <w:ind w:left="10" w:hanging="10"/>
      <w:outlineLvl w:val="1"/>
    </w:pPr>
    <w:rPr>
      <w:rFonts w:ascii="Verdana" w:eastAsia="Verdana" w:hAnsi="Verdana" w:cs="Verdana"/>
      <w:b/>
      <w:color w:val="1F497D"/>
    </w:rPr>
  </w:style>
  <w:style w:type="paragraph" w:styleId="Ttulo3">
    <w:name w:val="heading 3"/>
    <w:basedOn w:val="Ttulo10"/>
    <w:next w:val="Corpodetexto"/>
    <w:qFormat/>
    <w:pPr>
      <w:keepLines/>
      <w:widowControl w:val="0"/>
      <w:numPr>
        <w:ilvl w:val="2"/>
        <w:numId w:val="1"/>
      </w:numPr>
      <w:tabs>
        <w:tab w:val="left" w:pos="0"/>
      </w:tabs>
      <w:spacing w:after="90"/>
      <w:ind w:left="10" w:hanging="10"/>
      <w:outlineLvl w:val="2"/>
    </w:pPr>
    <w:rPr>
      <w:rFonts w:ascii="Verdana" w:eastAsia="Verdana" w:hAnsi="Verdana" w:cs="Verdana"/>
      <w:b/>
      <w:color w:val="1F497D"/>
    </w:rPr>
  </w:style>
  <w:style w:type="paragraph" w:styleId="Ttulo4">
    <w:name w:val="heading 4"/>
    <w:basedOn w:val="Ttulo10"/>
    <w:next w:val="Corpodetexto"/>
    <w:qFormat/>
    <w:pPr>
      <w:keepLines/>
      <w:widowControl w:val="0"/>
      <w:numPr>
        <w:ilvl w:val="3"/>
        <w:numId w:val="1"/>
      </w:numPr>
      <w:tabs>
        <w:tab w:val="left" w:pos="0"/>
      </w:tabs>
      <w:spacing w:after="40"/>
      <w:outlineLvl w:val="3"/>
    </w:pPr>
    <w:rPr>
      <w:rFonts w:ascii="Verdana" w:eastAsia="Verdana" w:hAnsi="Verdana" w:cs="Verdana"/>
      <w:b/>
      <w:sz w:val="24"/>
      <w:szCs w:val="24"/>
    </w:rPr>
  </w:style>
  <w:style w:type="paragraph" w:styleId="Ttulo5">
    <w:name w:val="heading 5"/>
    <w:basedOn w:val="Ttulo10"/>
    <w:next w:val="Corpodetexto"/>
    <w:qFormat/>
    <w:pPr>
      <w:keepLines/>
      <w:widowControl w:val="0"/>
      <w:numPr>
        <w:ilvl w:val="4"/>
        <w:numId w:val="1"/>
      </w:numPr>
      <w:tabs>
        <w:tab w:val="left" w:pos="0"/>
      </w:tabs>
      <w:spacing w:before="220" w:after="40"/>
      <w:outlineLvl w:val="4"/>
    </w:pPr>
    <w:rPr>
      <w:rFonts w:ascii="Verdana" w:eastAsia="Verdana" w:hAnsi="Verdana" w:cs="Verdana"/>
      <w:b/>
      <w:sz w:val="22"/>
      <w:szCs w:val="22"/>
    </w:rPr>
  </w:style>
  <w:style w:type="paragraph" w:styleId="Ttulo6">
    <w:name w:val="heading 6"/>
    <w:basedOn w:val="Ttulo10"/>
    <w:next w:val="Corpodetexto"/>
    <w:qFormat/>
    <w:pPr>
      <w:keepLines/>
      <w:widowControl w:val="0"/>
      <w:numPr>
        <w:ilvl w:val="5"/>
        <w:numId w:val="1"/>
      </w:numPr>
      <w:tabs>
        <w:tab w:val="left" w:pos="0"/>
      </w:tabs>
      <w:spacing w:before="200" w:after="40"/>
      <w:outlineLvl w:val="5"/>
    </w:pPr>
    <w:rPr>
      <w:rFonts w:ascii="Verdana" w:eastAsia="Verdana" w:hAnsi="Verdana" w:cs="Verdana"/>
      <w:b/>
      <w:sz w:val="20"/>
      <w:szCs w:val="20"/>
    </w:rPr>
  </w:style>
  <w:style w:type="character" w:default="1" w:styleId="Fontepargpadro">
    <w:name w:val="Default Paragraph Font"/>
    <w:uiPriority w:val="1"/>
    <w:unhideWhenUsed/>
  </w:style>
  <w:style w:type="table" w:default="1" w:styleId="Tabelanormal">
    <w:name w:val="Normal Table"/>
    <w:uiPriority w:val="99"/>
    <w:unhideWhenUsed/>
    <w:tblPr>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81">
    <w:name w:val="ListLabel 181"/>
    <w:rPr>
      <w:rFonts w:cs="Symbol"/>
    </w:rPr>
  </w:style>
  <w:style w:type="character" w:customStyle="1" w:styleId="ListLabel79">
    <w:name w:val="ListLabel 79"/>
    <w:rPr>
      <w:rFonts w:cs="Arial"/>
      <w:position w:val="0"/>
      <w:sz w:val="20"/>
      <w:vertAlign w:val="baseline"/>
    </w:rPr>
  </w:style>
  <w:style w:type="character" w:customStyle="1" w:styleId="ListLabel16">
    <w:name w:val="ListLabel 16"/>
    <w:rPr>
      <w:rFonts w:eastAsia="Arial" w:cs="Arial"/>
      <w:position w:val="0"/>
      <w:sz w:val="20"/>
      <w:vertAlign w:val="baseline"/>
    </w:rPr>
  </w:style>
  <w:style w:type="character" w:customStyle="1" w:styleId="ListLabel144">
    <w:name w:val="ListLabel 144"/>
    <w:rPr>
      <w:rFonts w:cs="Arial"/>
      <w:position w:val="0"/>
      <w:sz w:val="20"/>
      <w:vertAlign w:val="baseline"/>
    </w:rPr>
  </w:style>
  <w:style w:type="character" w:customStyle="1" w:styleId="DefaultParagraphFont">
    <w:name w:val="Default Paragraph Font"/>
  </w:style>
  <w:style w:type="character" w:customStyle="1" w:styleId="ListLabel113">
    <w:name w:val="ListLabel 113"/>
    <w:rPr>
      <w:rFonts w:cs="Courier New"/>
    </w:rPr>
  </w:style>
  <w:style w:type="character" w:customStyle="1" w:styleId="ListLabel121">
    <w:name w:val="ListLabel 121"/>
    <w:rPr>
      <w:rFonts w:cs="Arial"/>
      <w:position w:val="0"/>
      <w:sz w:val="18"/>
      <w:szCs w:val="18"/>
      <w:vertAlign w:val="baseline"/>
    </w:rPr>
  </w:style>
  <w:style w:type="character" w:customStyle="1" w:styleId="WW8Num1z6">
    <w:name w:val="WW8Num1z6"/>
  </w:style>
  <w:style w:type="character" w:customStyle="1" w:styleId="ListLabel24">
    <w:name w:val="ListLabel 24"/>
    <w:rPr>
      <w:rFonts w:eastAsia="Arial" w:cs="Arial"/>
      <w:position w:val="0"/>
      <w:sz w:val="20"/>
      <w:vertAlign w:val="baseline"/>
    </w:rPr>
  </w:style>
  <w:style w:type="character" w:customStyle="1" w:styleId="ListLabel90">
    <w:name w:val="ListLabel 90"/>
    <w:rPr>
      <w:rFonts w:cs="Arial"/>
      <w:position w:val="0"/>
      <w:sz w:val="20"/>
      <w:vertAlign w:val="baseline"/>
    </w:rPr>
  </w:style>
  <w:style w:type="character" w:customStyle="1" w:styleId="WW8Num7z1">
    <w:name w:val="WW8Num7z1"/>
    <w:rPr>
      <w:rFonts w:ascii="Courier New" w:hAnsi="Courier New" w:cs="Courier New"/>
    </w:rPr>
  </w:style>
  <w:style w:type="character" w:customStyle="1" w:styleId="ListLabel118">
    <w:name w:val="ListLabel 118"/>
    <w:rPr>
      <w:rFonts w:cs="Symbol"/>
    </w:rPr>
  </w:style>
  <w:style w:type="character" w:customStyle="1" w:styleId="ListLabel14">
    <w:name w:val="ListLabel 14"/>
    <w:rPr>
      <w:rFonts w:eastAsia="Arial" w:cs="Arial"/>
      <w:position w:val="0"/>
      <w:sz w:val="20"/>
      <w:vertAlign w:val="baseline"/>
    </w:rPr>
  </w:style>
  <w:style w:type="character" w:customStyle="1" w:styleId="ListLabel111">
    <w:name w:val="ListLabel 111"/>
    <w:rPr>
      <w:rFonts w:cs="Wingdings"/>
    </w:rPr>
  </w:style>
  <w:style w:type="character" w:customStyle="1" w:styleId="ListLabel75">
    <w:name w:val="ListLabel 75"/>
    <w:rPr>
      <w:rFonts w:cs="Arial"/>
      <w:position w:val="0"/>
      <w:sz w:val="20"/>
      <w:vertAlign w:val="baseline"/>
    </w:rPr>
  </w:style>
  <w:style w:type="character" w:customStyle="1" w:styleId="ListLabel72">
    <w:name w:val="ListLabel 72"/>
    <w:rPr>
      <w:rFonts w:cs="Arial"/>
      <w:position w:val="0"/>
      <w:sz w:val="20"/>
      <w:vertAlign w:val="baseline"/>
    </w:rPr>
  </w:style>
  <w:style w:type="character" w:styleId="Hyperlink">
    <w:name w:val="Hyperlink"/>
    <w:rPr>
      <w:color w:val="000080"/>
      <w:u w:val="single"/>
      <w:lang/>
    </w:rPr>
  </w:style>
  <w:style w:type="character" w:customStyle="1" w:styleId="ListLabel173">
    <w:name w:val="ListLabel 173"/>
    <w:rPr>
      <w:rFonts w:cs="Courier New"/>
    </w:rPr>
  </w:style>
  <w:style w:type="character" w:customStyle="1" w:styleId="ListLabel158">
    <w:name w:val="ListLabel 158"/>
    <w:rPr>
      <w:rFonts w:cs="Courier New"/>
    </w:rPr>
  </w:style>
  <w:style w:type="character" w:customStyle="1" w:styleId="WW8Num1z8">
    <w:name w:val="WW8Num1z8"/>
  </w:style>
  <w:style w:type="character" w:customStyle="1" w:styleId="ListLabel164">
    <w:name w:val="ListLabel 164"/>
    <w:rPr>
      <w:rFonts w:cs="Courier New"/>
    </w:rPr>
  </w:style>
  <w:style w:type="character" w:customStyle="1" w:styleId="ListLabel174">
    <w:name w:val="ListLabel 174"/>
    <w:rPr>
      <w:rFonts w:cs="Wingdings"/>
    </w:rPr>
  </w:style>
  <w:style w:type="character" w:customStyle="1" w:styleId="ListLabel33">
    <w:name w:val="ListLabel 33"/>
    <w:rPr>
      <w:rFonts w:eastAsia="Arial" w:cs="Arial"/>
      <w:position w:val="0"/>
      <w:sz w:val="20"/>
      <w:vertAlign w:val="baseline"/>
    </w:rPr>
  </w:style>
  <w:style w:type="character" w:customStyle="1" w:styleId="ListLabel142">
    <w:name w:val="ListLabel 142"/>
    <w:rPr>
      <w:rFonts w:cs="Arial"/>
      <w:position w:val="0"/>
      <w:sz w:val="20"/>
      <w:vertAlign w:val="baseline"/>
    </w:rPr>
  </w:style>
  <w:style w:type="character" w:customStyle="1" w:styleId="WW8Num1z1">
    <w:name w:val="WW8Num1z1"/>
  </w:style>
  <w:style w:type="character" w:customStyle="1" w:styleId="ListLabel67">
    <w:name w:val="ListLabel 67"/>
    <w:rPr>
      <w:rFonts w:cs="Arial"/>
      <w:position w:val="0"/>
      <w:sz w:val="20"/>
      <w:vertAlign w:val="baseline"/>
    </w:rPr>
  </w:style>
  <w:style w:type="character" w:customStyle="1" w:styleId="ListLabel137">
    <w:name w:val="ListLabel 137"/>
    <w:rPr>
      <w:rFonts w:cs="Arial"/>
      <w:position w:val="0"/>
      <w:sz w:val="20"/>
      <w:vertAlign w:val="baseline"/>
    </w:rPr>
  </w:style>
  <w:style w:type="character" w:customStyle="1" w:styleId="ListLabel76">
    <w:name w:val="ListLabel 76"/>
    <w:rPr>
      <w:rFonts w:cs="Arial"/>
      <w:position w:val="0"/>
      <w:sz w:val="18"/>
      <w:szCs w:val="18"/>
      <w:vertAlign w:val="baseline"/>
    </w:rPr>
  </w:style>
  <w:style w:type="character" w:customStyle="1" w:styleId="ListLabel152">
    <w:name w:val="ListLabel 152"/>
    <w:rPr>
      <w:rFonts w:cs="Arial"/>
      <w:position w:val="0"/>
      <w:sz w:val="20"/>
      <w:vertAlign w:val="baseline"/>
    </w:rPr>
  </w:style>
  <w:style w:type="character" w:customStyle="1" w:styleId="WW8Num8z4">
    <w:name w:val="WW8Num8z4"/>
  </w:style>
  <w:style w:type="character" w:customStyle="1" w:styleId="ListLabel64">
    <w:name w:val="ListLabel 64"/>
    <w:rPr>
      <w:rFonts w:cs="Arial"/>
      <w:position w:val="0"/>
      <w:sz w:val="20"/>
      <w:vertAlign w:val="baseline"/>
    </w:rPr>
  </w:style>
  <w:style w:type="character" w:customStyle="1" w:styleId="ListLabel100">
    <w:name w:val="ListLabel 100"/>
    <w:rPr>
      <w:rFonts w:cs="Symbol"/>
    </w:rPr>
  </w:style>
  <w:style w:type="character" w:customStyle="1" w:styleId="ListLabel154">
    <w:name w:val="ListLabel 154"/>
    <w:rPr>
      <w:rFonts w:cs="Arial"/>
      <w:position w:val="0"/>
      <w:sz w:val="20"/>
      <w:vertAlign w:val="baseline"/>
    </w:rPr>
  </w:style>
  <w:style w:type="character" w:customStyle="1" w:styleId="ListLabel15">
    <w:name w:val="ListLabel 15"/>
    <w:rPr>
      <w:rFonts w:eastAsia="Arial" w:cs="Arial"/>
      <w:position w:val="0"/>
      <w:sz w:val="20"/>
      <w:vertAlign w:val="baseline"/>
    </w:rPr>
  </w:style>
  <w:style w:type="character" w:customStyle="1" w:styleId="ListLabel132">
    <w:name w:val="ListLabel 132"/>
    <w:rPr>
      <w:rFonts w:cs="Arial"/>
      <w:position w:val="0"/>
      <w:sz w:val="20"/>
      <w:vertAlign w:val="baseline"/>
    </w:rPr>
  </w:style>
  <w:style w:type="character" w:customStyle="1" w:styleId="ListLabel123">
    <w:name w:val="ListLabel 123"/>
    <w:rPr>
      <w:rFonts w:cs="Arial"/>
      <w:position w:val="0"/>
      <w:sz w:val="20"/>
      <w:vertAlign w:val="baseline"/>
    </w:rPr>
  </w:style>
  <w:style w:type="character" w:customStyle="1" w:styleId="ListLabel12">
    <w:name w:val="ListLabel 12"/>
    <w:rPr>
      <w:rFonts w:eastAsia="Arial" w:cs="Arial"/>
      <w:position w:val="0"/>
      <w:sz w:val="20"/>
      <w:vertAlign w:val="baseline"/>
    </w:rPr>
  </w:style>
  <w:style w:type="character" w:customStyle="1" w:styleId="ListLabel36">
    <w:name w:val="ListLabel 36"/>
    <w:rPr>
      <w:rFonts w:eastAsia="Arial" w:cs="Arial"/>
      <w:position w:val="0"/>
      <w:sz w:val="20"/>
      <w:vertAlign w:val="baseline"/>
    </w:rPr>
  </w:style>
  <w:style w:type="character" w:customStyle="1" w:styleId="ListLabel32">
    <w:name w:val="ListLabel 32"/>
    <w:rPr>
      <w:rFonts w:eastAsia="Arial" w:cs="Arial"/>
      <w:position w:val="0"/>
      <w:sz w:val="20"/>
      <w:vertAlign w:val="baseline"/>
    </w:rPr>
  </w:style>
  <w:style w:type="character" w:customStyle="1" w:styleId="ListLabel110">
    <w:name w:val="ListLabel 110"/>
    <w:rPr>
      <w:rFonts w:cs="Courier New"/>
    </w:rPr>
  </w:style>
  <w:style w:type="character" w:customStyle="1" w:styleId="ListLabel13">
    <w:name w:val="ListLabel 13"/>
    <w:rPr>
      <w:rFonts w:eastAsia="Arial" w:cs="Arial"/>
      <w:position w:val="0"/>
      <w:sz w:val="20"/>
      <w:vertAlign w:val="baseline"/>
    </w:rPr>
  </w:style>
  <w:style w:type="character" w:customStyle="1" w:styleId="WW8Num5z1">
    <w:name w:val="WW8Num5z1"/>
    <w:rPr>
      <w:rFonts w:ascii="Courier New" w:hAnsi="Courier New" w:cs="Courier New"/>
    </w:rPr>
  </w:style>
  <w:style w:type="character" w:customStyle="1" w:styleId="TextodebaloChar">
    <w:name w:val="Texto de balão Char"/>
    <w:rPr>
      <w:rFonts w:ascii="Tahoma" w:hAnsi="Tahoma" w:cs="Tahoma"/>
      <w:sz w:val="16"/>
      <w:szCs w:val="16"/>
    </w:rPr>
  </w:style>
  <w:style w:type="character" w:customStyle="1" w:styleId="ListLabel159">
    <w:name w:val="ListLabel 159"/>
    <w:rPr>
      <w:rFonts w:cs="Wingdings"/>
    </w:rPr>
  </w:style>
  <w:style w:type="character" w:customStyle="1" w:styleId="ListLabel148">
    <w:name w:val="ListLabel 148"/>
    <w:rPr>
      <w:rFonts w:cs="Arial"/>
      <w:position w:val="0"/>
      <w:sz w:val="18"/>
      <w:szCs w:val="18"/>
      <w:vertAlign w:val="baseline"/>
    </w:rPr>
  </w:style>
  <w:style w:type="character" w:customStyle="1" w:styleId="ListLabel37">
    <w:name w:val="ListLabel 37"/>
    <w:rPr>
      <w:rFonts w:eastAsia="Arial" w:cs="Arial"/>
      <w:position w:val="0"/>
      <w:sz w:val="18"/>
      <w:szCs w:val="18"/>
      <w:vertAlign w:val="baseline"/>
    </w:rPr>
  </w:style>
  <w:style w:type="character" w:customStyle="1" w:styleId="ListLabel116">
    <w:name w:val="ListLabel 116"/>
    <w:rPr>
      <w:rFonts w:cs="Courier New"/>
    </w:rPr>
  </w:style>
  <w:style w:type="character" w:customStyle="1" w:styleId="ListLabel163">
    <w:name w:val="ListLabel 163"/>
    <w:rPr>
      <w:rFonts w:cs="Symbol"/>
    </w:rPr>
  </w:style>
  <w:style w:type="character" w:customStyle="1" w:styleId="ListLabel114">
    <w:name w:val="ListLabel 114"/>
    <w:rPr>
      <w:rFonts w:cs="Wingdings"/>
    </w:rPr>
  </w:style>
  <w:style w:type="character" w:customStyle="1" w:styleId="ListLabel99">
    <w:name w:val="ListLabel 99"/>
    <w:rPr>
      <w:rFonts w:cs="Wingdings"/>
    </w:rPr>
  </w:style>
  <w:style w:type="character" w:customStyle="1" w:styleId="ListLabel27">
    <w:name w:val="ListLabel 27"/>
    <w:rPr>
      <w:rFonts w:eastAsia="Arial" w:cs="Arial"/>
      <w:position w:val="0"/>
      <w:sz w:val="20"/>
      <w:vertAlign w:val="baseline"/>
    </w:rPr>
  </w:style>
  <w:style w:type="character" w:customStyle="1" w:styleId="ListLabel170">
    <w:name w:val="ListLabel 170"/>
    <w:rPr>
      <w:rFonts w:cs="Courier New"/>
    </w:rPr>
  </w:style>
  <w:style w:type="character" w:customStyle="1" w:styleId="ListLabel138">
    <w:name w:val="ListLabel 138"/>
    <w:rPr>
      <w:rFonts w:cs="Arial"/>
      <w:position w:val="0"/>
      <w:sz w:val="20"/>
      <w:vertAlign w:val="baseline"/>
    </w:rPr>
  </w:style>
  <w:style w:type="character" w:customStyle="1" w:styleId="ListLabel34">
    <w:name w:val="ListLabel 34"/>
    <w:rPr>
      <w:rFonts w:eastAsia="Arial" w:cs="Arial"/>
      <w:position w:val="0"/>
      <w:sz w:val="20"/>
      <w:vertAlign w:val="baseline"/>
    </w:rPr>
  </w:style>
  <w:style w:type="character" w:customStyle="1" w:styleId="WW8Num6z2">
    <w:name w:val="WW8Num6z2"/>
    <w:rPr>
      <w:rFonts w:ascii="Wingdings" w:hAnsi="Wingdings" w:cs="Wingdings"/>
    </w:rPr>
  </w:style>
  <w:style w:type="character" w:customStyle="1" w:styleId="ListLabel49">
    <w:name w:val="ListLabel 49"/>
    <w:rPr>
      <w:rFonts w:cs="Courier New"/>
    </w:rPr>
  </w:style>
  <w:style w:type="character" w:customStyle="1" w:styleId="ListLabel46">
    <w:name w:val="ListLabel 46"/>
    <w:rPr>
      <w:rFonts w:cs="Courier New"/>
    </w:rPr>
  </w:style>
  <w:style w:type="character" w:customStyle="1" w:styleId="WW8Num1z4">
    <w:name w:val="WW8Num1z4"/>
  </w:style>
  <w:style w:type="character" w:customStyle="1" w:styleId="ListLabel180">
    <w:name w:val="ListLabel 180"/>
    <w:rPr>
      <w:rFonts w:cs="Wingdings"/>
    </w:rPr>
  </w:style>
  <w:style w:type="character" w:customStyle="1" w:styleId="ListLabel156">
    <w:name w:val="ListLabel 156"/>
    <w:rPr>
      <w:rFonts w:cs="Arial"/>
      <w:position w:val="0"/>
      <w:sz w:val="20"/>
      <w:vertAlign w:val="baseline"/>
    </w:rPr>
  </w:style>
  <w:style w:type="character" w:customStyle="1" w:styleId="ListLabel176">
    <w:name w:val="ListLabel 176"/>
    <w:rPr>
      <w:rFonts w:cs="Courier New"/>
    </w:rPr>
  </w:style>
  <w:style w:type="character" w:styleId="nfase">
    <w:name w:val="Emphasis"/>
    <w:qFormat/>
    <w:rPr>
      <w:i/>
      <w:iCs/>
    </w:rPr>
  </w:style>
  <w:style w:type="character" w:customStyle="1" w:styleId="ListLabel83">
    <w:name w:val="ListLabel 83"/>
    <w:rPr>
      <w:rFonts w:cs="Arial"/>
      <w:position w:val="0"/>
      <w:sz w:val="20"/>
      <w:vertAlign w:val="baseline"/>
    </w:rPr>
  </w:style>
  <w:style w:type="character" w:customStyle="1" w:styleId="WW8Num5z0">
    <w:name w:val="WW8Num5z0"/>
    <w:rPr>
      <w:rFonts w:ascii="Symbol" w:hAnsi="Symbol" w:cs="Symbol"/>
      <w:color w:val="800000"/>
      <w:sz w:val="18"/>
      <w:szCs w:val="18"/>
    </w:rPr>
  </w:style>
  <w:style w:type="character" w:customStyle="1" w:styleId="ListLabel98">
    <w:name w:val="ListLabel 98"/>
    <w:rPr>
      <w:rFonts w:cs="Courier New"/>
    </w:rPr>
  </w:style>
  <w:style w:type="character" w:customStyle="1" w:styleId="WW8Num6z3">
    <w:name w:val="WW8Num6z3"/>
    <w:rPr>
      <w:rFonts w:ascii="Symbol" w:hAnsi="Symbol" w:cs="Symbol"/>
    </w:rPr>
  </w:style>
  <w:style w:type="character" w:customStyle="1" w:styleId="ListLabel2">
    <w:name w:val="ListLabel 2"/>
    <w:rPr>
      <w:rFonts w:eastAsia="Arial" w:cs="Arial"/>
      <w:position w:val="0"/>
      <w:sz w:val="20"/>
      <w:vertAlign w:val="baseline"/>
    </w:rPr>
  </w:style>
  <w:style w:type="character" w:customStyle="1" w:styleId="ListLabel23">
    <w:name w:val="ListLabel 23"/>
    <w:rPr>
      <w:rFonts w:eastAsia="Arial" w:cs="Arial"/>
      <w:position w:val="0"/>
      <w:sz w:val="20"/>
      <w:vertAlign w:val="baseline"/>
    </w:rPr>
  </w:style>
  <w:style w:type="character" w:customStyle="1" w:styleId="ListLabel59">
    <w:name w:val="ListLabel 59"/>
    <w:rPr>
      <w:rFonts w:cs="Arial"/>
      <w:position w:val="0"/>
      <w:sz w:val="20"/>
      <w:vertAlign w:val="baseline"/>
    </w:rPr>
  </w:style>
  <w:style w:type="character" w:customStyle="1" w:styleId="WW8Num8z6">
    <w:name w:val="WW8Num8z6"/>
  </w:style>
  <w:style w:type="character" w:customStyle="1" w:styleId="WW8Num1z0">
    <w:name w:val="WW8Num1z0"/>
  </w:style>
  <w:style w:type="character" w:customStyle="1" w:styleId="ListLabel149">
    <w:name w:val="ListLabel 149"/>
    <w:rPr>
      <w:rFonts w:cs="Arial"/>
      <w:position w:val="0"/>
      <w:sz w:val="20"/>
      <w:vertAlign w:val="baseline"/>
    </w:rPr>
  </w:style>
  <w:style w:type="character" w:customStyle="1" w:styleId="ListLabel17">
    <w:name w:val="ListLabel 17"/>
    <w:rPr>
      <w:rFonts w:eastAsia="Arial" w:cs="Arial"/>
      <w:position w:val="0"/>
      <w:sz w:val="20"/>
      <w:vertAlign w:val="baseline"/>
    </w:rPr>
  </w:style>
  <w:style w:type="character" w:customStyle="1" w:styleId="ListLabel8">
    <w:name w:val="ListLabel 8"/>
    <w:rPr>
      <w:rFonts w:eastAsia="Arial" w:cs="Arial"/>
      <w:position w:val="0"/>
      <w:sz w:val="20"/>
      <w:vertAlign w:val="baseline"/>
    </w:rPr>
  </w:style>
  <w:style w:type="character" w:customStyle="1" w:styleId="ListLabel82">
    <w:name w:val="ListLabel 82"/>
    <w:rPr>
      <w:rFonts w:cs="Arial"/>
      <w:position w:val="0"/>
      <w:sz w:val="20"/>
      <w:vertAlign w:val="baseline"/>
    </w:rPr>
  </w:style>
  <w:style w:type="character" w:customStyle="1" w:styleId="WW8Num7z2">
    <w:name w:val="WW8Num7z2"/>
    <w:rPr>
      <w:rFonts w:ascii="Wingdings" w:hAnsi="Wingdings" w:cs="Wingdings"/>
    </w:rPr>
  </w:style>
  <w:style w:type="character" w:customStyle="1" w:styleId="ListLabel122">
    <w:name w:val="ListLabel 122"/>
    <w:rPr>
      <w:rFonts w:cs="Arial"/>
      <w:position w:val="0"/>
      <w:sz w:val="20"/>
      <w:vertAlign w:val="baseline"/>
    </w:rPr>
  </w:style>
  <w:style w:type="character" w:customStyle="1" w:styleId="ListLabel73">
    <w:name w:val="ListLabel 73"/>
    <w:rPr>
      <w:rFonts w:cs="Arial"/>
      <w:position w:val="0"/>
      <w:sz w:val="20"/>
      <w:vertAlign w:val="baseline"/>
    </w:rPr>
  </w:style>
  <w:style w:type="character" w:customStyle="1" w:styleId="WW8Num6z1">
    <w:name w:val="WW8Num6z1"/>
    <w:rPr>
      <w:rFonts w:ascii="Courier New" w:hAnsi="Courier New" w:cs="Courier New"/>
    </w:rPr>
  </w:style>
  <w:style w:type="character" w:customStyle="1" w:styleId="ListLabel38">
    <w:name w:val="ListLabel 38"/>
    <w:rPr>
      <w:rFonts w:eastAsia="Arial" w:cs="Arial"/>
      <w:position w:val="0"/>
      <w:sz w:val="20"/>
      <w:vertAlign w:val="baseline"/>
    </w:rPr>
  </w:style>
  <w:style w:type="character" w:customStyle="1" w:styleId="WW8Num5z2">
    <w:name w:val="WW8Num5z2"/>
    <w:rPr>
      <w:rFonts w:ascii="Wingdings" w:hAnsi="Wingdings" w:cs="Wingdings"/>
    </w:rPr>
  </w:style>
  <w:style w:type="character" w:customStyle="1" w:styleId="ListLabel58">
    <w:name w:val="ListLabel 58"/>
    <w:rPr>
      <w:rFonts w:cs="Arial"/>
      <w:position w:val="0"/>
      <w:sz w:val="18"/>
      <w:szCs w:val="18"/>
      <w:vertAlign w:val="baseline"/>
    </w:rPr>
  </w:style>
  <w:style w:type="character" w:customStyle="1" w:styleId="ListLabel119">
    <w:name w:val="ListLabel 119"/>
    <w:rPr>
      <w:rFonts w:cs="Courier New"/>
    </w:rPr>
  </w:style>
  <w:style w:type="character" w:customStyle="1" w:styleId="ListLabel153">
    <w:name w:val="ListLabel 153"/>
    <w:rPr>
      <w:rFonts w:cs="Arial"/>
      <w:position w:val="0"/>
      <w:sz w:val="20"/>
      <w:vertAlign w:val="baseline"/>
    </w:rPr>
  </w:style>
  <w:style w:type="character" w:customStyle="1" w:styleId="ListLabel25">
    <w:name w:val="ListLabel 25"/>
    <w:rPr>
      <w:rFonts w:eastAsia="Arial" w:cs="Arial"/>
      <w:position w:val="0"/>
      <w:sz w:val="20"/>
      <w:vertAlign w:val="baseline"/>
    </w:rPr>
  </w:style>
  <w:style w:type="character" w:customStyle="1" w:styleId="ListLabel130">
    <w:name w:val="ListLabel 130"/>
    <w:rPr>
      <w:rFonts w:cs="Arial"/>
      <w:position w:val="0"/>
      <w:sz w:val="20"/>
      <w:vertAlign w:val="baseline"/>
    </w:rPr>
  </w:style>
  <w:style w:type="character" w:customStyle="1" w:styleId="ListLabel160">
    <w:name w:val="ListLabel 160"/>
    <w:rPr>
      <w:rFonts w:cs="Symbol"/>
    </w:rPr>
  </w:style>
  <w:style w:type="character" w:customStyle="1" w:styleId="ListLabel139">
    <w:name w:val="ListLabel 139"/>
    <w:rPr>
      <w:rFonts w:cs="Arial"/>
      <w:position w:val="0"/>
      <w:sz w:val="18"/>
      <w:szCs w:val="18"/>
      <w:vertAlign w:val="baseline"/>
    </w:rPr>
  </w:style>
  <w:style w:type="character" w:customStyle="1" w:styleId="ListLabel93">
    <w:name w:val="ListLabel 93"/>
    <w:rPr>
      <w:rFonts w:cs="Arial"/>
      <w:position w:val="0"/>
      <w:sz w:val="20"/>
      <w:vertAlign w:val="baseline"/>
    </w:rPr>
  </w:style>
  <w:style w:type="character" w:customStyle="1" w:styleId="ListLabel141">
    <w:name w:val="ListLabel 141"/>
    <w:rPr>
      <w:rFonts w:cs="Arial"/>
      <w:position w:val="0"/>
      <w:sz w:val="20"/>
      <w:vertAlign w:val="baseline"/>
    </w:rPr>
  </w:style>
  <w:style w:type="character" w:customStyle="1" w:styleId="ListLabel86">
    <w:name w:val="ListLabel 86"/>
    <w:rPr>
      <w:rFonts w:cs="Arial"/>
      <w:position w:val="0"/>
      <w:sz w:val="20"/>
      <w:vertAlign w:val="baseline"/>
    </w:rPr>
  </w:style>
  <w:style w:type="character" w:customStyle="1" w:styleId="Marcas">
    <w:name w:val="Marcas"/>
    <w:rPr>
      <w:rFonts w:ascii="OpenSymbol" w:eastAsia="OpenSymbol" w:hAnsi="OpenSymbol" w:cs="OpenSymbol"/>
    </w:rPr>
  </w:style>
  <w:style w:type="character" w:customStyle="1" w:styleId="ListLabel175">
    <w:name w:val="ListLabel 175"/>
    <w:rPr>
      <w:rFonts w:cs="Symbol"/>
      <w:sz w:val="18"/>
    </w:rPr>
  </w:style>
  <w:style w:type="character" w:customStyle="1" w:styleId="WW8Num4z0">
    <w:name w:val="WW8Num4z0"/>
    <w:rPr>
      <w:rFonts w:ascii="Symbol" w:hAnsi="Symbol" w:cs="Symbol"/>
      <w:color w:val="800000"/>
      <w:sz w:val="18"/>
      <w:szCs w:val="18"/>
    </w:rPr>
  </w:style>
  <w:style w:type="character" w:customStyle="1" w:styleId="ListLabel7">
    <w:name w:val="ListLabel 7"/>
    <w:rPr>
      <w:rFonts w:eastAsia="Arial" w:cs="Arial"/>
      <w:position w:val="0"/>
      <w:sz w:val="20"/>
      <w:vertAlign w:val="baseline"/>
    </w:rPr>
  </w:style>
  <w:style w:type="character" w:customStyle="1" w:styleId="WW8Num1z7">
    <w:name w:val="WW8Num1z7"/>
  </w:style>
  <w:style w:type="character" w:customStyle="1" w:styleId="WW8Num6z0">
    <w:name w:val="WW8Num6z0"/>
    <w:rPr>
      <w:rFonts w:ascii="Symbol" w:hAnsi="Symbol" w:cs="Symbol"/>
      <w:sz w:val="18"/>
      <w:szCs w:val="18"/>
    </w:rPr>
  </w:style>
  <w:style w:type="character" w:customStyle="1" w:styleId="ListLabel63">
    <w:name w:val="ListLabel 63"/>
    <w:rPr>
      <w:rFonts w:cs="Arial"/>
      <w:position w:val="0"/>
      <w:sz w:val="20"/>
      <w:vertAlign w:val="baseline"/>
    </w:rPr>
  </w:style>
  <w:style w:type="character" w:customStyle="1" w:styleId="ListLabel140">
    <w:name w:val="ListLabel 140"/>
    <w:rPr>
      <w:rFonts w:cs="Arial"/>
      <w:position w:val="0"/>
      <w:sz w:val="20"/>
      <w:vertAlign w:val="baseline"/>
    </w:rPr>
  </w:style>
  <w:style w:type="character" w:customStyle="1" w:styleId="ListLabel104">
    <w:name w:val="ListLabel 104"/>
    <w:rPr>
      <w:rFonts w:cs="Courier New"/>
    </w:rPr>
  </w:style>
  <w:style w:type="character" w:customStyle="1" w:styleId="ListLabel87">
    <w:name w:val="ListLabel 87"/>
    <w:rPr>
      <w:rFonts w:cs="Arial"/>
      <w:position w:val="0"/>
      <w:sz w:val="20"/>
      <w:vertAlign w:val="baseline"/>
    </w:rPr>
  </w:style>
  <w:style w:type="character" w:customStyle="1" w:styleId="ListLabel81">
    <w:name w:val="ListLabel 81"/>
    <w:rPr>
      <w:rFonts w:cs="Arial"/>
      <w:position w:val="0"/>
      <w:sz w:val="20"/>
      <w:vertAlign w:val="baseline"/>
    </w:rPr>
  </w:style>
  <w:style w:type="character" w:customStyle="1" w:styleId="ListLabel29">
    <w:name w:val="ListLabel 29"/>
    <w:rPr>
      <w:rFonts w:eastAsia="Arial" w:cs="Arial"/>
      <w:position w:val="0"/>
      <w:sz w:val="20"/>
      <w:vertAlign w:val="baseline"/>
    </w:rPr>
  </w:style>
  <w:style w:type="character" w:customStyle="1" w:styleId="ListLabel19">
    <w:name w:val="ListLabel 19"/>
    <w:rPr>
      <w:rFonts w:eastAsia="Arial" w:cs="Arial"/>
      <w:position w:val="0"/>
      <w:sz w:val="18"/>
      <w:szCs w:val="18"/>
      <w:vertAlign w:val="baseline"/>
    </w:rPr>
  </w:style>
  <w:style w:type="character" w:customStyle="1" w:styleId="ListLabel155">
    <w:name w:val="ListLabel 155"/>
    <w:rPr>
      <w:rFonts w:cs="Arial"/>
      <w:position w:val="0"/>
      <w:sz w:val="20"/>
      <w:vertAlign w:val="baseline"/>
    </w:rPr>
  </w:style>
  <w:style w:type="character" w:customStyle="1" w:styleId="WW8Num4z1">
    <w:name w:val="WW8Num4z1"/>
    <w:rPr>
      <w:rFonts w:ascii="Arial" w:hAnsi="Arial" w:cs="Arial"/>
      <w:position w:val="0"/>
      <w:sz w:val="20"/>
      <w:vertAlign w:val="baseline"/>
    </w:rPr>
  </w:style>
  <w:style w:type="character" w:customStyle="1" w:styleId="ListLabel35">
    <w:name w:val="ListLabel 35"/>
    <w:rPr>
      <w:rFonts w:eastAsia="Arial" w:cs="Arial"/>
      <w:position w:val="0"/>
      <w:sz w:val="20"/>
      <w:vertAlign w:val="baseline"/>
    </w:rPr>
  </w:style>
  <w:style w:type="character" w:customStyle="1" w:styleId="ListLabel108">
    <w:name w:val="ListLabel 108"/>
    <w:rPr>
      <w:rFonts w:cs="Wingdings"/>
    </w:rPr>
  </w:style>
  <w:style w:type="character" w:customStyle="1" w:styleId="ListLabel65">
    <w:name w:val="ListLabel 65"/>
    <w:rPr>
      <w:rFonts w:cs="Arial"/>
      <w:position w:val="0"/>
      <w:sz w:val="20"/>
      <w:vertAlign w:val="baseline"/>
    </w:rPr>
  </w:style>
  <w:style w:type="character" w:customStyle="1" w:styleId="ListLabel89">
    <w:name w:val="ListLabel 89"/>
    <w:rPr>
      <w:rFonts w:cs="Arial"/>
      <w:position w:val="0"/>
      <w:sz w:val="20"/>
      <w:vertAlign w:val="baseline"/>
    </w:rPr>
  </w:style>
  <w:style w:type="character" w:customStyle="1" w:styleId="ListLabel52">
    <w:name w:val="ListLabel 52"/>
    <w:rPr>
      <w:rFonts w:cs="Courier New"/>
    </w:rPr>
  </w:style>
  <w:style w:type="character" w:customStyle="1" w:styleId="ListLabel50">
    <w:name w:val="ListLabel 50"/>
    <w:rPr>
      <w:rFonts w:cs="Courier New"/>
    </w:rPr>
  </w:style>
  <w:style w:type="character" w:customStyle="1" w:styleId="ListLabel129">
    <w:name w:val="ListLabel 129"/>
    <w:rPr>
      <w:rFonts w:cs="Arial"/>
      <w:position w:val="0"/>
      <w:sz w:val="20"/>
      <w:vertAlign w:val="baseline"/>
    </w:rPr>
  </w:style>
  <w:style w:type="character" w:customStyle="1" w:styleId="ListLabel97">
    <w:name w:val="ListLabel 97"/>
    <w:rPr>
      <w:rFonts w:cs="Symbol"/>
    </w:rPr>
  </w:style>
  <w:style w:type="character" w:customStyle="1" w:styleId="ListLabel95">
    <w:name w:val="ListLabel 95"/>
    <w:rPr>
      <w:rFonts w:cs="Courier New"/>
    </w:rPr>
  </w:style>
  <w:style w:type="character" w:customStyle="1" w:styleId="ListLabel44">
    <w:name w:val="ListLabel 44"/>
    <w:rPr>
      <w:rFonts w:eastAsia="Arial" w:cs="Arial"/>
      <w:position w:val="0"/>
      <w:sz w:val="20"/>
      <w:vertAlign w:val="baseline"/>
    </w:rPr>
  </w:style>
  <w:style w:type="character" w:customStyle="1" w:styleId="ListLabel20">
    <w:name w:val="ListLabel 20"/>
    <w:rPr>
      <w:rFonts w:eastAsia="Arial" w:cs="Arial"/>
      <w:position w:val="0"/>
      <w:sz w:val="20"/>
      <w:vertAlign w:val="baseline"/>
    </w:rPr>
  </w:style>
  <w:style w:type="character" w:customStyle="1" w:styleId="ListLabel31">
    <w:name w:val="ListLabel 31"/>
    <w:rPr>
      <w:rFonts w:eastAsia="Arial" w:cs="Arial"/>
      <w:position w:val="0"/>
      <w:sz w:val="20"/>
      <w:vertAlign w:val="baseline"/>
    </w:rPr>
  </w:style>
  <w:style w:type="character" w:customStyle="1" w:styleId="ListLabel69">
    <w:name w:val="ListLabel 69"/>
    <w:rPr>
      <w:rFonts w:cs="Arial"/>
      <w:position w:val="0"/>
      <w:sz w:val="20"/>
      <w:vertAlign w:val="baseline"/>
    </w:rPr>
  </w:style>
  <w:style w:type="character" w:customStyle="1" w:styleId="ListLabel57">
    <w:name w:val="ListLabel 57"/>
    <w:rPr>
      <w:rFonts w:cs="Courier New"/>
    </w:rPr>
  </w:style>
  <w:style w:type="character" w:customStyle="1" w:styleId="ListLabel80">
    <w:name w:val="ListLabel 80"/>
    <w:rPr>
      <w:rFonts w:cs="Arial"/>
      <w:position w:val="0"/>
      <w:sz w:val="20"/>
      <w:vertAlign w:val="baseline"/>
    </w:rPr>
  </w:style>
  <w:style w:type="character" w:customStyle="1" w:styleId="ListLabel74">
    <w:name w:val="ListLabel 74"/>
    <w:rPr>
      <w:rFonts w:cs="Arial"/>
      <w:position w:val="0"/>
      <w:sz w:val="20"/>
      <w:vertAlign w:val="baseline"/>
    </w:rPr>
  </w:style>
  <w:style w:type="character" w:customStyle="1" w:styleId="ListLabel47">
    <w:name w:val="ListLabel 47"/>
    <w:rPr>
      <w:rFonts w:cs="Courier New"/>
    </w:rPr>
  </w:style>
  <w:style w:type="character" w:customStyle="1" w:styleId="ListLabel178">
    <w:name w:val="ListLabel 178"/>
    <w:rPr>
      <w:rFonts w:cs="Symbol"/>
    </w:rPr>
  </w:style>
  <w:style w:type="character" w:customStyle="1" w:styleId="ListLabel42">
    <w:name w:val="ListLabel 42"/>
    <w:rPr>
      <w:rFonts w:eastAsia="Arial" w:cs="Arial"/>
      <w:position w:val="0"/>
      <w:sz w:val="20"/>
      <w:vertAlign w:val="baseline"/>
    </w:rPr>
  </w:style>
  <w:style w:type="character" w:customStyle="1" w:styleId="ListLabel70">
    <w:name w:val="ListLabel 70"/>
    <w:rPr>
      <w:rFonts w:cs="Arial"/>
      <w:position w:val="0"/>
      <w:sz w:val="20"/>
      <w:vertAlign w:val="baseline"/>
    </w:rPr>
  </w:style>
  <w:style w:type="character" w:customStyle="1" w:styleId="ListLabel135">
    <w:name w:val="ListLabel 135"/>
    <w:rPr>
      <w:rFonts w:cs="Arial"/>
      <w:position w:val="0"/>
      <w:sz w:val="20"/>
      <w:vertAlign w:val="baseline"/>
    </w:rPr>
  </w:style>
  <w:style w:type="character" w:customStyle="1" w:styleId="ListLabel3">
    <w:name w:val="ListLabel 3"/>
    <w:rPr>
      <w:rFonts w:eastAsia="Arial" w:cs="Arial"/>
      <w:position w:val="0"/>
      <w:sz w:val="20"/>
      <w:vertAlign w:val="baseline"/>
    </w:rPr>
  </w:style>
  <w:style w:type="character" w:customStyle="1" w:styleId="ListLabel162">
    <w:name w:val="ListLabel 162"/>
    <w:rPr>
      <w:rFonts w:cs="Wingdings"/>
    </w:rPr>
  </w:style>
  <w:style w:type="character" w:customStyle="1" w:styleId="ListLabel96">
    <w:name w:val="ListLabel 96"/>
    <w:rPr>
      <w:rFonts w:cs="Wingdings"/>
    </w:rPr>
  </w:style>
  <w:style w:type="character" w:customStyle="1" w:styleId="ListLabel115">
    <w:name w:val="ListLabel 115"/>
    <w:rPr>
      <w:rFonts w:cs="Symbol"/>
    </w:rPr>
  </w:style>
  <w:style w:type="character" w:customStyle="1" w:styleId="ListLabel131">
    <w:name w:val="ListLabel 131"/>
    <w:rPr>
      <w:rFonts w:cs="Arial"/>
      <w:position w:val="0"/>
      <w:sz w:val="20"/>
      <w:vertAlign w:val="baseline"/>
    </w:rPr>
  </w:style>
  <w:style w:type="character" w:customStyle="1" w:styleId="ListLabel54">
    <w:name w:val="ListLabel 54"/>
    <w:rPr>
      <w:rFonts w:cs="Courier New"/>
    </w:rPr>
  </w:style>
  <w:style w:type="character" w:customStyle="1" w:styleId="ListLabel147">
    <w:name w:val="ListLabel 147"/>
    <w:rPr>
      <w:rFonts w:cs="Arial"/>
      <w:position w:val="0"/>
      <w:sz w:val="20"/>
      <w:vertAlign w:val="baseline"/>
    </w:rPr>
  </w:style>
  <w:style w:type="character" w:customStyle="1" w:styleId="WW8Num2z0">
    <w:name w:val="WW8Num2z0"/>
    <w:rPr>
      <w:rFonts w:ascii="Symbol" w:hAnsi="Symbol" w:cs="Symbol"/>
      <w:color w:val="800000"/>
      <w:sz w:val="18"/>
      <w:szCs w:val="18"/>
    </w:rPr>
  </w:style>
  <w:style w:type="character" w:customStyle="1" w:styleId="WW8Num8z7">
    <w:name w:val="WW8Num8z7"/>
  </w:style>
  <w:style w:type="character" w:customStyle="1" w:styleId="ListLabel145">
    <w:name w:val="ListLabel 145"/>
    <w:rPr>
      <w:rFonts w:cs="Arial"/>
      <w:position w:val="0"/>
      <w:sz w:val="20"/>
      <w:vertAlign w:val="baseline"/>
    </w:rPr>
  </w:style>
  <w:style w:type="character" w:customStyle="1" w:styleId="ListLabel4">
    <w:name w:val="ListLabel 4"/>
    <w:rPr>
      <w:rFonts w:eastAsia="Arial" w:cs="Arial"/>
      <w:position w:val="0"/>
      <w:sz w:val="20"/>
      <w:vertAlign w:val="baseline"/>
    </w:rPr>
  </w:style>
  <w:style w:type="character" w:customStyle="1" w:styleId="WW8Num3z0">
    <w:name w:val="WW8Num3z0"/>
    <w:rPr>
      <w:rFonts w:ascii="Symbol" w:hAnsi="Symbol" w:cs="Symbol"/>
      <w:sz w:val="18"/>
      <w:szCs w:val="18"/>
    </w:rPr>
  </w:style>
  <w:style w:type="character" w:customStyle="1" w:styleId="ListLabel51">
    <w:name w:val="ListLabel 51"/>
    <w:rPr>
      <w:rFonts w:cs="Courier New"/>
    </w:rPr>
  </w:style>
  <w:style w:type="character" w:customStyle="1" w:styleId="ListLabel107">
    <w:name w:val="ListLabel 107"/>
    <w:rPr>
      <w:rFonts w:cs="Courier New"/>
    </w:rPr>
  </w:style>
  <w:style w:type="character" w:customStyle="1" w:styleId="ListLabel41">
    <w:name w:val="ListLabel 41"/>
    <w:rPr>
      <w:rFonts w:eastAsia="Arial" w:cs="Arial"/>
      <w:position w:val="0"/>
      <w:sz w:val="20"/>
      <w:vertAlign w:val="baseline"/>
    </w:rPr>
  </w:style>
  <w:style w:type="character" w:customStyle="1" w:styleId="ListLabel151">
    <w:name w:val="ListLabel 151"/>
    <w:rPr>
      <w:rFonts w:cs="Arial"/>
      <w:position w:val="0"/>
      <w:sz w:val="20"/>
      <w:vertAlign w:val="baseline"/>
    </w:rPr>
  </w:style>
  <w:style w:type="character" w:customStyle="1" w:styleId="ListLabel11">
    <w:name w:val="ListLabel 11"/>
    <w:rPr>
      <w:rFonts w:eastAsia="Arial" w:cs="Arial"/>
      <w:position w:val="0"/>
      <w:sz w:val="20"/>
      <w:vertAlign w:val="baseline"/>
    </w:rPr>
  </w:style>
  <w:style w:type="character" w:customStyle="1" w:styleId="ListLabel125">
    <w:name w:val="ListLabel 125"/>
    <w:rPr>
      <w:rFonts w:cs="Arial"/>
      <w:position w:val="0"/>
      <w:sz w:val="20"/>
      <w:vertAlign w:val="baseline"/>
    </w:rPr>
  </w:style>
  <w:style w:type="character" w:customStyle="1" w:styleId="ListLabel166">
    <w:name w:val="ListLabel 166"/>
    <w:rPr>
      <w:rFonts w:cs="Symbol"/>
      <w:sz w:val="18"/>
    </w:rPr>
  </w:style>
  <w:style w:type="character" w:customStyle="1" w:styleId="ListLabel183">
    <w:name w:val="ListLabel 183"/>
    <w:rPr>
      <w:rFonts w:cs="Wingdings"/>
    </w:rPr>
  </w:style>
  <w:style w:type="character" w:customStyle="1" w:styleId="ListLabel26">
    <w:name w:val="ListLabel 26"/>
    <w:rPr>
      <w:rFonts w:eastAsia="Arial" w:cs="Arial"/>
      <w:position w:val="0"/>
      <w:sz w:val="20"/>
      <w:vertAlign w:val="baseline"/>
    </w:rPr>
  </w:style>
  <w:style w:type="character" w:customStyle="1" w:styleId="ListLabel61">
    <w:name w:val="ListLabel 61"/>
    <w:rPr>
      <w:rFonts w:cs="Arial"/>
      <w:position w:val="0"/>
      <w:sz w:val="20"/>
      <w:vertAlign w:val="baseline"/>
    </w:rPr>
  </w:style>
  <w:style w:type="character" w:customStyle="1" w:styleId="ListLabel126">
    <w:name w:val="ListLabel 126"/>
    <w:rPr>
      <w:rFonts w:cs="Arial"/>
      <w:position w:val="0"/>
      <w:sz w:val="20"/>
      <w:vertAlign w:val="baseline"/>
    </w:rPr>
  </w:style>
  <w:style w:type="character" w:customStyle="1" w:styleId="ListLabel165">
    <w:name w:val="ListLabel 165"/>
    <w:rPr>
      <w:rFonts w:cs="Wingdings"/>
    </w:rPr>
  </w:style>
  <w:style w:type="character" w:customStyle="1" w:styleId="ListLabel77">
    <w:name w:val="ListLabel 77"/>
    <w:rPr>
      <w:rFonts w:cs="Arial"/>
      <w:position w:val="0"/>
      <w:sz w:val="20"/>
      <w:vertAlign w:val="baseline"/>
    </w:rPr>
  </w:style>
  <w:style w:type="character" w:customStyle="1" w:styleId="ListLabel182">
    <w:name w:val="ListLabel 182"/>
    <w:rPr>
      <w:rFonts w:cs="Courier New"/>
    </w:rPr>
  </w:style>
  <w:style w:type="character" w:customStyle="1" w:styleId="ListLabel177">
    <w:name w:val="ListLabel 177"/>
    <w:rPr>
      <w:rFonts w:cs="Wingdings"/>
    </w:rPr>
  </w:style>
  <w:style w:type="character" w:customStyle="1" w:styleId="ListLabel92">
    <w:name w:val="ListLabel 92"/>
    <w:rPr>
      <w:rFonts w:cs="Arial"/>
      <w:position w:val="0"/>
      <w:sz w:val="20"/>
      <w:vertAlign w:val="baseline"/>
    </w:rPr>
  </w:style>
  <w:style w:type="character" w:customStyle="1" w:styleId="WW8Num5z3">
    <w:name w:val="WW8Num5z3"/>
    <w:rPr>
      <w:rFonts w:ascii="Symbol" w:hAnsi="Symbol" w:cs="Symbol"/>
    </w:rPr>
  </w:style>
  <w:style w:type="character" w:customStyle="1" w:styleId="ListLabel84">
    <w:name w:val="ListLabel 84"/>
    <w:rPr>
      <w:rFonts w:cs="Arial"/>
      <w:position w:val="0"/>
      <w:sz w:val="20"/>
      <w:vertAlign w:val="baseline"/>
    </w:rPr>
  </w:style>
  <w:style w:type="character" w:customStyle="1" w:styleId="ListLabel171">
    <w:name w:val="ListLabel 171"/>
    <w:rPr>
      <w:rFonts w:cs="Wingdings"/>
    </w:rPr>
  </w:style>
  <w:style w:type="character" w:customStyle="1" w:styleId="ListLabel48">
    <w:name w:val="ListLabel 48"/>
    <w:rPr>
      <w:rFonts w:cs="Courier New"/>
    </w:rPr>
  </w:style>
  <w:style w:type="character" w:customStyle="1" w:styleId="ListLabel124">
    <w:name w:val="ListLabel 124"/>
    <w:rPr>
      <w:rFonts w:cs="Arial"/>
      <w:position w:val="0"/>
      <w:sz w:val="20"/>
      <w:vertAlign w:val="baseline"/>
    </w:rPr>
  </w:style>
  <w:style w:type="character" w:customStyle="1" w:styleId="ListLabel18">
    <w:name w:val="ListLabel 18"/>
    <w:rPr>
      <w:rFonts w:eastAsia="Arial" w:cs="Arial"/>
      <w:position w:val="0"/>
      <w:sz w:val="20"/>
      <w:vertAlign w:val="baseline"/>
    </w:rPr>
  </w:style>
  <w:style w:type="character" w:customStyle="1" w:styleId="ListLabel106">
    <w:name w:val="ListLabel 106"/>
    <w:rPr>
      <w:rFonts w:cs="Symbol"/>
    </w:rPr>
  </w:style>
  <w:style w:type="character" w:customStyle="1" w:styleId="ListLabel94">
    <w:name w:val="ListLabel 94"/>
    <w:rPr>
      <w:rFonts w:cs="Symbol"/>
      <w:sz w:val="18"/>
    </w:rPr>
  </w:style>
  <w:style w:type="character" w:customStyle="1" w:styleId="ListLabel21">
    <w:name w:val="ListLabel 21"/>
    <w:rPr>
      <w:rFonts w:eastAsia="Arial" w:cs="Arial"/>
      <w:position w:val="0"/>
      <w:sz w:val="20"/>
      <w:vertAlign w:val="baseline"/>
    </w:rPr>
  </w:style>
  <w:style w:type="character" w:customStyle="1" w:styleId="ListLabel5">
    <w:name w:val="ListLabel 5"/>
    <w:rPr>
      <w:rFonts w:eastAsia="Arial" w:cs="Arial"/>
      <w:position w:val="0"/>
      <w:sz w:val="20"/>
      <w:vertAlign w:val="baseline"/>
    </w:rPr>
  </w:style>
  <w:style w:type="character" w:customStyle="1" w:styleId="ListLabel6">
    <w:name w:val="ListLabel 6"/>
    <w:rPr>
      <w:rFonts w:eastAsia="Arial" w:cs="Arial"/>
      <w:position w:val="0"/>
      <w:sz w:val="20"/>
      <w:vertAlign w:val="baseline"/>
    </w:rPr>
  </w:style>
  <w:style w:type="character" w:customStyle="1" w:styleId="ListLabel128">
    <w:name w:val="ListLabel 128"/>
    <w:rPr>
      <w:rFonts w:cs="Arial"/>
      <w:position w:val="0"/>
      <w:sz w:val="20"/>
      <w:vertAlign w:val="baseline"/>
    </w:rPr>
  </w:style>
  <w:style w:type="character" w:customStyle="1" w:styleId="ListLabel10">
    <w:name w:val="ListLabel 10"/>
    <w:rPr>
      <w:rFonts w:eastAsia="Arial" w:cs="Arial"/>
      <w:position w:val="0"/>
      <w:sz w:val="20"/>
      <w:vertAlign w:val="baseline"/>
    </w:rPr>
  </w:style>
  <w:style w:type="character" w:customStyle="1" w:styleId="ListLabel146">
    <w:name w:val="ListLabel 146"/>
    <w:rPr>
      <w:rFonts w:cs="Arial"/>
      <w:position w:val="0"/>
      <w:sz w:val="20"/>
      <w:vertAlign w:val="baseline"/>
    </w:rPr>
  </w:style>
  <w:style w:type="character" w:customStyle="1" w:styleId="ListLabel117">
    <w:name w:val="ListLabel 117"/>
    <w:rPr>
      <w:rFonts w:cs="Wingdings"/>
    </w:rPr>
  </w:style>
  <w:style w:type="character" w:customStyle="1" w:styleId="ListLabel1">
    <w:name w:val="ListLabel 1"/>
    <w:rPr>
      <w:rFonts w:eastAsia="Arial" w:cs="Arial"/>
      <w:position w:val="0"/>
      <w:sz w:val="18"/>
      <w:szCs w:val="18"/>
      <w:vertAlign w:val="baseline"/>
    </w:rPr>
  </w:style>
  <w:style w:type="character" w:customStyle="1" w:styleId="ListLabel157">
    <w:name w:val="ListLabel 157"/>
    <w:rPr>
      <w:rFonts w:cs="Symbol"/>
      <w:sz w:val="18"/>
    </w:rPr>
  </w:style>
  <w:style w:type="character" w:customStyle="1" w:styleId="WW8Num8z0">
    <w:name w:val="WW8Num8z0"/>
    <w:rPr>
      <w:rFonts w:ascii="Symbol" w:hAnsi="Symbol" w:cs="Symbol"/>
      <w:sz w:val="18"/>
      <w:szCs w:val="18"/>
    </w:rPr>
  </w:style>
  <w:style w:type="character" w:customStyle="1" w:styleId="ListLabel53">
    <w:name w:val="ListLabel 53"/>
    <w:rPr>
      <w:rFonts w:cs="Courier New"/>
    </w:rPr>
  </w:style>
  <w:style w:type="character" w:customStyle="1" w:styleId="ListLabel167">
    <w:name w:val="ListLabel 167"/>
    <w:rPr>
      <w:rFonts w:cs="Courier New"/>
    </w:rPr>
  </w:style>
  <w:style w:type="character" w:customStyle="1" w:styleId="ListLabel161">
    <w:name w:val="ListLabel 161"/>
    <w:rPr>
      <w:rFonts w:cs="Courier New"/>
    </w:rPr>
  </w:style>
  <w:style w:type="character" w:customStyle="1" w:styleId="ListLabel101">
    <w:name w:val="ListLabel 101"/>
    <w:rPr>
      <w:rFonts w:cs="Courier New"/>
    </w:rPr>
  </w:style>
  <w:style w:type="character" w:customStyle="1" w:styleId="ListLabel9">
    <w:name w:val="ListLabel 9"/>
    <w:rPr>
      <w:rFonts w:eastAsia="Arial" w:cs="Arial"/>
      <w:position w:val="0"/>
      <w:sz w:val="20"/>
      <w:vertAlign w:val="baseline"/>
    </w:rPr>
  </w:style>
  <w:style w:type="character" w:customStyle="1" w:styleId="ListLabel109">
    <w:name w:val="ListLabel 109"/>
    <w:rPr>
      <w:rFonts w:cs="Symbol"/>
    </w:rPr>
  </w:style>
  <w:style w:type="character" w:customStyle="1" w:styleId="WW8Num8z8">
    <w:name w:val="WW8Num8z8"/>
  </w:style>
  <w:style w:type="character" w:customStyle="1" w:styleId="ListLabel88">
    <w:name w:val="ListLabel 88"/>
    <w:rPr>
      <w:rFonts w:cs="Arial"/>
      <w:position w:val="0"/>
      <w:sz w:val="20"/>
      <w:vertAlign w:val="baseline"/>
    </w:rPr>
  </w:style>
  <w:style w:type="character" w:customStyle="1" w:styleId="ListLabel105">
    <w:name w:val="ListLabel 105"/>
    <w:rPr>
      <w:rFonts w:cs="Wingdings"/>
    </w:rPr>
  </w:style>
  <w:style w:type="character" w:customStyle="1" w:styleId="ListLabel62">
    <w:name w:val="ListLabel 62"/>
    <w:rPr>
      <w:rFonts w:cs="Arial"/>
      <w:position w:val="0"/>
      <w:sz w:val="20"/>
      <w:vertAlign w:val="baseline"/>
    </w:rPr>
  </w:style>
  <w:style w:type="character" w:customStyle="1" w:styleId="ListLabel45">
    <w:name w:val="ListLabel 45"/>
    <w:rPr>
      <w:rFonts w:eastAsia="Arial" w:cs="Arial"/>
      <w:position w:val="0"/>
      <w:sz w:val="20"/>
      <w:vertAlign w:val="baseline"/>
    </w:rPr>
  </w:style>
  <w:style w:type="character" w:customStyle="1" w:styleId="ListLabel71">
    <w:name w:val="ListLabel 71"/>
    <w:rPr>
      <w:rFonts w:cs="Arial"/>
      <w:position w:val="0"/>
      <w:sz w:val="20"/>
      <w:vertAlign w:val="baseline"/>
    </w:rPr>
  </w:style>
  <w:style w:type="character" w:customStyle="1" w:styleId="ListLabel133">
    <w:name w:val="ListLabel 133"/>
    <w:rPr>
      <w:rFonts w:cs="Arial"/>
      <w:position w:val="0"/>
      <w:sz w:val="20"/>
      <w:vertAlign w:val="baseline"/>
    </w:rPr>
  </w:style>
  <w:style w:type="character" w:customStyle="1" w:styleId="ListLabel78">
    <w:name w:val="ListLabel 78"/>
    <w:rPr>
      <w:rFonts w:cs="Arial"/>
      <w:position w:val="0"/>
      <w:sz w:val="20"/>
      <w:vertAlign w:val="baseline"/>
    </w:rPr>
  </w:style>
  <w:style w:type="character" w:customStyle="1" w:styleId="WW8Num7z0">
    <w:name w:val="WW8Num7z0"/>
    <w:rPr>
      <w:rFonts w:ascii="Symbol" w:hAnsi="Symbol" w:cs="Symbol"/>
      <w:sz w:val="18"/>
      <w:szCs w:val="18"/>
    </w:rPr>
  </w:style>
  <w:style w:type="character" w:customStyle="1" w:styleId="ListLabel55">
    <w:name w:val="ListLabel 55"/>
    <w:rPr>
      <w:rFonts w:cs="Courier New"/>
    </w:rPr>
  </w:style>
  <w:style w:type="character" w:customStyle="1" w:styleId="ListLabel169">
    <w:name w:val="ListLabel 169"/>
    <w:rPr>
      <w:rFonts w:cs="Symbol"/>
    </w:rPr>
  </w:style>
  <w:style w:type="character" w:customStyle="1" w:styleId="ListLabel43">
    <w:name w:val="ListLabel 43"/>
    <w:rPr>
      <w:rFonts w:eastAsia="Arial" w:cs="Arial"/>
      <w:position w:val="0"/>
      <w:sz w:val="20"/>
      <w:vertAlign w:val="baseline"/>
    </w:rPr>
  </w:style>
  <w:style w:type="character" w:customStyle="1" w:styleId="WW8Num8z1">
    <w:name w:val="WW8Num8z1"/>
    <w:rPr>
      <w:rFonts w:ascii="OpenSymbol" w:hAnsi="OpenSymbol" w:cs="OpenSymbol"/>
    </w:rPr>
  </w:style>
  <w:style w:type="character" w:customStyle="1" w:styleId="WW8Num1z3">
    <w:name w:val="WW8Num1z3"/>
  </w:style>
  <w:style w:type="character" w:customStyle="1" w:styleId="WW8Num1z5">
    <w:name w:val="WW8Num1z5"/>
  </w:style>
  <w:style w:type="character" w:customStyle="1" w:styleId="ListLabel68">
    <w:name w:val="ListLabel 68"/>
    <w:rPr>
      <w:rFonts w:cs="Arial"/>
      <w:position w:val="0"/>
      <w:sz w:val="20"/>
      <w:vertAlign w:val="baseline"/>
    </w:rPr>
  </w:style>
  <w:style w:type="character" w:customStyle="1" w:styleId="ListLabel127">
    <w:name w:val="ListLabel 127"/>
    <w:rPr>
      <w:rFonts w:cs="Arial"/>
      <w:position w:val="0"/>
      <w:sz w:val="20"/>
      <w:vertAlign w:val="baseline"/>
    </w:rPr>
  </w:style>
  <w:style w:type="character" w:customStyle="1" w:styleId="ListLabel143">
    <w:name w:val="ListLabel 143"/>
    <w:rPr>
      <w:rFonts w:cs="Arial"/>
      <w:position w:val="0"/>
      <w:sz w:val="20"/>
      <w:vertAlign w:val="baseline"/>
    </w:rPr>
  </w:style>
  <w:style w:type="character" w:customStyle="1" w:styleId="ListLabel168">
    <w:name w:val="ListLabel 168"/>
    <w:rPr>
      <w:rFonts w:cs="Wingdings"/>
    </w:rPr>
  </w:style>
  <w:style w:type="character" w:customStyle="1" w:styleId="ListLabel60">
    <w:name w:val="ListLabel 60"/>
    <w:rPr>
      <w:rFonts w:cs="Arial"/>
      <w:position w:val="0"/>
      <w:sz w:val="20"/>
      <w:vertAlign w:val="baseline"/>
    </w:rPr>
  </w:style>
  <w:style w:type="character" w:customStyle="1" w:styleId="ListLabel120">
    <w:name w:val="ListLabel 120"/>
    <w:rPr>
      <w:rFonts w:cs="Wingdings"/>
    </w:rPr>
  </w:style>
  <w:style w:type="character" w:customStyle="1" w:styleId="ListLabel112">
    <w:name w:val="ListLabel 112"/>
    <w:rPr>
      <w:rFonts w:cs="Symbol"/>
      <w:sz w:val="18"/>
    </w:rPr>
  </w:style>
  <w:style w:type="character" w:customStyle="1" w:styleId="ListLabel134">
    <w:name w:val="ListLabel 134"/>
    <w:rPr>
      <w:rFonts w:cs="Arial"/>
      <w:position w:val="0"/>
      <w:sz w:val="20"/>
      <w:vertAlign w:val="baseline"/>
    </w:rPr>
  </w:style>
  <w:style w:type="character" w:customStyle="1" w:styleId="WW8Num3z1">
    <w:name w:val="WW8Num3z1"/>
    <w:rPr>
      <w:rFonts w:ascii="Arial" w:hAnsi="Arial" w:cs="Arial"/>
      <w:position w:val="0"/>
      <w:sz w:val="20"/>
      <w:vertAlign w:val="baseline"/>
    </w:rPr>
  </w:style>
  <w:style w:type="character" w:customStyle="1" w:styleId="ListLabel91">
    <w:name w:val="ListLabel 91"/>
    <w:rPr>
      <w:rFonts w:cs="Arial"/>
      <w:position w:val="0"/>
      <w:sz w:val="20"/>
      <w:vertAlign w:val="baseline"/>
    </w:rPr>
  </w:style>
  <w:style w:type="character" w:customStyle="1" w:styleId="WW8Num7z3">
    <w:name w:val="WW8Num7z3"/>
    <w:rPr>
      <w:rFonts w:ascii="Symbol" w:hAnsi="Symbol" w:cs="Symbol"/>
    </w:rPr>
  </w:style>
  <w:style w:type="character" w:customStyle="1" w:styleId="ListLabel39">
    <w:name w:val="ListLabel 39"/>
    <w:rPr>
      <w:rFonts w:eastAsia="Arial" w:cs="Arial"/>
      <w:position w:val="0"/>
      <w:sz w:val="20"/>
      <w:vertAlign w:val="baseline"/>
    </w:rPr>
  </w:style>
  <w:style w:type="character" w:customStyle="1" w:styleId="ListLabel136">
    <w:name w:val="ListLabel 136"/>
    <w:rPr>
      <w:rFonts w:cs="Arial"/>
      <w:position w:val="0"/>
      <w:sz w:val="20"/>
      <w:vertAlign w:val="baseline"/>
    </w:rPr>
  </w:style>
  <w:style w:type="character" w:customStyle="1" w:styleId="WW8Num8z3">
    <w:name w:val="WW8Num8z3"/>
    <w:rPr>
      <w:rFonts w:ascii="Wingdings" w:hAnsi="Wingdings" w:cs="OpenSymbol"/>
    </w:rPr>
  </w:style>
  <w:style w:type="character" w:customStyle="1" w:styleId="ListLabel22">
    <w:name w:val="ListLabel 22"/>
    <w:rPr>
      <w:rFonts w:eastAsia="Arial" w:cs="Arial"/>
      <w:position w:val="0"/>
      <w:sz w:val="20"/>
      <w:vertAlign w:val="baseline"/>
    </w:rPr>
  </w:style>
  <w:style w:type="character" w:customStyle="1" w:styleId="WW8Num8z5">
    <w:name w:val="WW8Num8z5"/>
  </w:style>
  <w:style w:type="character" w:customStyle="1" w:styleId="WW8Num1z2">
    <w:name w:val="WW8Num1z2"/>
  </w:style>
  <w:style w:type="character" w:customStyle="1" w:styleId="ListLabel40">
    <w:name w:val="ListLabel 40"/>
    <w:rPr>
      <w:rFonts w:eastAsia="Arial" w:cs="Arial"/>
      <w:position w:val="0"/>
      <w:sz w:val="20"/>
      <w:vertAlign w:val="baseline"/>
    </w:rPr>
  </w:style>
  <w:style w:type="character" w:customStyle="1" w:styleId="ListLabel66">
    <w:name w:val="ListLabel 66"/>
    <w:rPr>
      <w:rFonts w:cs="Arial"/>
      <w:position w:val="0"/>
      <w:sz w:val="20"/>
      <w:vertAlign w:val="baseline"/>
    </w:rPr>
  </w:style>
  <w:style w:type="character" w:customStyle="1" w:styleId="ListLabel102">
    <w:name w:val="ListLabel 102"/>
    <w:rPr>
      <w:rFonts w:cs="Wingdings"/>
    </w:rPr>
  </w:style>
  <w:style w:type="character" w:customStyle="1" w:styleId="WW8Num2z1">
    <w:name w:val="WW8Num2z1"/>
    <w:rPr>
      <w:rFonts w:ascii="Arial" w:hAnsi="Arial" w:cs="Arial"/>
      <w:position w:val="0"/>
      <w:sz w:val="20"/>
      <w:vertAlign w:val="baseline"/>
    </w:rPr>
  </w:style>
  <w:style w:type="character" w:customStyle="1" w:styleId="WW8Num8z2">
    <w:name w:val="WW8Num8z2"/>
    <w:rPr>
      <w:rFonts w:ascii="Wingdings" w:hAnsi="Wingdings" w:cs="Wingdings"/>
    </w:rPr>
  </w:style>
  <w:style w:type="character" w:customStyle="1" w:styleId="ListLabel85">
    <w:name w:val="ListLabel 85"/>
    <w:rPr>
      <w:rFonts w:cs="Arial"/>
      <w:position w:val="0"/>
      <w:sz w:val="18"/>
      <w:szCs w:val="18"/>
      <w:vertAlign w:val="baseline"/>
    </w:rPr>
  </w:style>
  <w:style w:type="character" w:customStyle="1" w:styleId="ListLabel30">
    <w:name w:val="ListLabel 30"/>
    <w:rPr>
      <w:rFonts w:eastAsia="Arial" w:cs="Arial"/>
      <w:position w:val="0"/>
      <w:sz w:val="20"/>
      <w:vertAlign w:val="baseline"/>
    </w:rPr>
  </w:style>
  <w:style w:type="character" w:customStyle="1" w:styleId="ListLabel172">
    <w:name w:val="ListLabel 172"/>
    <w:rPr>
      <w:rFonts w:cs="Symbol"/>
    </w:rPr>
  </w:style>
  <w:style w:type="character" w:customStyle="1" w:styleId="ListLabel150">
    <w:name w:val="ListLabel 150"/>
    <w:rPr>
      <w:rFonts w:cs="Arial"/>
      <w:position w:val="0"/>
      <w:sz w:val="20"/>
      <w:vertAlign w:val="baseline"/>
    </w:rPr>
  </w:style>
  <w:style w:type="character" w:customStyle="1" w:styleId="ListLabel28">
    <w:name w:val="ListLabel 28"/>
    <w:rPr>
      <w:rFonts w:eastAsia="Arial" w:cs="Arial"/>
      <w:position w:val="0"/>
      <w:sz w:val="18"/>
      <w:szCs w:val="18"/>
      <w:vertAlign w:val="baseline"/>
    </w:rPr>
  </w:style>
  <w:style w:type="character" w:customStyle="1" w:styleId="ListLabel179">
    <w:name w:val="ListLabel 179"/>
    <w:rPr>
      <w:rFonts w:cs="Courier New"/>
    </w:rPr>
  </w:style>
  <w:style w:type="character" w:customStyle="1" w:styleId="ListLabel103">
    <w:name w:val="ListLabel 103"/>
    <w:rPr>
      <w:rFonts w:cs="Symbol"/>
      <w:sz w:val="18"/>
    </w:rPr>
  </w:style>
  <w:style w:type="character" w:customStyle="1" w:styleId="ListLabel56">
    <w:name w:val="ListLabel 56"/>
    <w:rPr>
      <w:rFonts w:cs="Courier New"/>
    </w:rPr>
  </w:style>
  <w:style w:type="paragraph" w:customStyle="1" w:styleId="Textoprformatado">
    <w:name w:val="Texto préformatado"/>
    <w:basedOn w:val="Normal"/>
    <w:pPr>
      <w:spacing w:after="0"/>
    </w:pPr>
    <w:rPr>
      <w:rFonts w:ascii="Liberation Mono" w:eastAsia="NSimSun" w:hAnsi="Liberation Mono" w:cs="Liberation Mono"/>
    </w:rPr>
  </w:style>
  <w:style w:type="paragraph" w:customStyle="1" w:styleId="Contedodatabela">
    <w:name w:val="Conteúdo da tabela"/>
    <w:basedOn w:val="Normal"/>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pPr>
      <w:suppressLineNumbers/>
    </w:pPr>
    <w:rPr>
      <w:rFonts w:cs="Arial"/>
    </w:rPr>
  </w:style>
  <w:style w:type="paragraph" w:styleId="Cabealho">
    <w:name w:val="header"/>
    <w:basedOn w:val="Normal"/>
  </w:style>
  <w:style w:type="paragraph" w:styleId="Rodap">
    <w:name w:val="footer"/>
    <w:basedOn w:val="Normal"/>
    <w:link w:val="RodapChar"/>
    <w:uiPriority w:val="99"/>
  </w:style>
  <w:style w:type="paragraph" w:customStyle="1" w:styleId="Ttulodetabela">
    <w:name w:val="Título de tabela"/>
    <w:basedOn w:val="Contedodatabela"/>
  </w:style>
  <w:style w:type="paragraph" w:styleId="Subttulo">
    <w:name w:val="Subtitle"/>
    <w:basedOn w:val="LO-normal"/>
    <w:next w:val="Corpodetexto"/>
    <w:qFormat/>
    <w:pPr>
      <w:keepNext/>
      <w:keepLines/>
      <w:spacing w:before="360" w:after="80"/>
    </w:pPr>
    <w:rPr>
      <w:rFonts w:ascii="Georgia" w:eastAsia="Georgia" w:hAnsi="Georgia" w:cs="Georgia"/>
      <w:i/>
      <w:color w:val="666666"/>
      <w:sz w:val="48"/>
      <w:szCs w:val="48"/>
    </w:rPr>
  </w:style>
  <w:style w:type="paragraph" w:styleId="Corpodetexto">
    <w:name w:val="Body Text"/>
    <w:basedOn w:val="Normal"/>
    <w:pPr>
      <w:spacing w:after="140" w:line="288" w:lineRule="auto"/>
      <w:jc w:val="both"/>
    </w:pPr>
  </w:style>
  <w:style w:type="paragraph" w:styleId="Ttulo">
    <w:name w:val="Title"/>
    <w:basedOn w:val="LO-normal"/>
    <w:next w:val="Corpodetexto"/>
    <w:qFormat/>
    <w:pPr>
      <w:keepNext/>
      <w:keepLines/>
      <w:spacing w:before="480" w:after="120"/>
    </w:pPr>
    <w:rPr>
      <w:b/>
      <w:sz w:val="72"/>
      <w:szCs w:val="72"/>
    </w:rPr>
  </w:style>
  <w:style w:type="paragraph" w:customStyle="1" w:styleId="Ttulo10">
    <w:name w:val="Título1"/>
    <w:basedOn w:val="Normal"/>
    <w:next w:val="Corpodetexto"/>
    <w:pPr>
      <w:keepNext/>
      <w:spacing w:before="240" w:after="120"/>
    </w:pPr>
    <w:rPr>
      <w:rFonts w:ascii="Liberation Sans" w:eastAsia="Microsoft YaHei" w:hAnsi="Liberation Sans" w:cs="Arial"/>
      <w:sz w:val="28"/>
      <w:szCs w:val="28"/>
    </w:rPr>
  </w:style>
  <w:style w:type="paragraph" w:styleId="Lista">
    <w:name w:val="List"/>
    <w:basedOn w:val="Corpodetexto"/>
    <w:rPr>
      <w:rFonts w:cs="Arial"/>
    </w:rPr>
  </w:style>
  <w:style w:type="paragraph" w:styleId="NormalWeb">
    <w:name w:val="Normal (Web)"/>
    <w:uiPriority w:val="99"/>
    <w:unhideWhenUsed/>
    <w:pPr>
      <w:spacing w:before="100" w:beforeAutospacing="1" w:after="100" w:afterAutospacing="1"/>
    </w:pPr>
    <w:rPr>
      <w:szCs w:val="24"/>
      <w:lang w:val="en-US" w:eastAsia="zh-CN"/>
    </w:rPr>
  </w:style>
  <w:style w:type="paragraph" w:customStyle="1" w:styleId="LO-normal">
    <w:name w:val="LO-normal"/>
    <w:pPr>
      <w:suppressAutoHyphens/>
    </w:pPr>
    <w:rPr>
      <w:rFonts w:ascii="Verdana" w:eastAsia="Verdana" w:hAnsi="Verdana" w:cs="Verdana"/>
      <w:color w:val="000000"/>
      <w:kern w:val="1"/>
    </w:rPr>
  </w:style>
  <w:style w:type="paragraph" w:customStyle="1" w:styleId="BalloonText">
    <w:name w:val="Balloon Text"/>
    <w:basedOn w:val="Normal"/>
    <w:pPr>
      <w:spacing w:after="0"/>
    </w:pPr>
    <w:rPr>
      <w:rFonts w:ascii="Tahoma" w:hAnsi="Tahoma" w:cs="Tahoma"/>
      <w:sz w:val="16"/>
      <w:szCs w:val="16"/>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Escuro-nfase1">
    <w:name w:val="Colorful Shading Accent 1"/>
    <w:basedOn w:val="Tabelanormal"/>
    <w:uiPriority w:val="71"/>
    <w:rPr>
      <w:rFonts w:ascii="Calibri" w:eastAsia="Calibri" w:hAnsi="Calibri"/>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GradeClara-nfase11">
    <w:name w:val="Grade Clara - Ênfase 11"/>
    <w:basedOn w:val="Tabela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SombreamentoClaro-nfase11">
    <w:name w:val="Sombreamento Claro - Ênfase 11"/>
    <w:basedOn w:val="Tabelanormal"/>
    <w:uiPriority w:val="60"/>
    <w:rPr>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GradeMdia3-nfase1">
    <w:name w:val="Medium Grid 3 Accent 1"/>
    <w:basedOn w:val="Tabela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character" w:customStyle="1" w:styleId="RodapChar">
    <w:name w:val="Rodapé Char"/>
    <w:link w:val="Rodap"/>
    <w:uiPriority w:val="99"/>
    <w:rsid w:val="000210A0"/>
    <w:rPr>
      <w:rFonts w:ascii="Verdana" w:eastAsia="Verdana" w:hAnsi="Verdana" w:cs="Verdana"/>
      <w:color w:val="000000"/>
      <w:kern w:val="1"/>
    </w:rPr>
  </w:style>
  <w:style w:type="paragraph" w:styleId="Textodebalo">
    <w:name w:val="Balloon Text"/>
    <w:basedOn w:val="Normal"/>
    <w:link w:val="TextodebaloChar1"/>
    <w:uiPriority w:val="99"/>
    <w:semiHidden/>
    <w:unhideWhenUsed/>
    <w:rsid w:val="000210A0"/>
    <w:pPr>
      <w:spacing w:after="0"/>
    </w:pPr>
    <w:rPr>
      <w:rFonts w:ascii="Segoe UI" w:hAnsi="Segoe UI" w:cs="Segoe UI"/>
      <w:sz w:val="18"/>
      <w:szCs w:val="18"/>
    </w:rPr>
  </w:style>
  <w:style w:type="character" w:customStyle="1" w:styleId="TextodebaloChar1">
    <w:name w:val="Texto de balão Char1"/>
    <w:link w:val="Textodebalo"/>
    <w:uiPriority w:val="99"/>
    <w:semiHidden/>
    <w:rsid w:val="000210A0"/>
    <w:rPr>
      <w:rFonts w:ascii="Segoe UI" w:eastAsia="Verdana" w:hAnsi="Segoe UI" w:cs="Segoe UI"/>
      <w:color w:val="000000"/>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diego.rativa@poli.br" TargetMode="External"/><Relationship Id="rId26" Type="http://schemas.openxmlformats.org/officeDocument/2006/relationships/hyperlink" Target="http://www.aaende.org.ar/ingles/sitio/biblioteca/material/pdf/cote107.pdf" TargetMode="External"/><Relationship Id="rId21" Type="http://schemas.openxmlformats.org/officeDocument/2006/relationships/hyperlink" Target="http://www.biblioteca.fsp.usp.br/~biblioteca/guia/i_cap_04.htm" TargetMode="External"/><Relationship Id="rId34" Type="http://schemas.openxmlformats.org/officeDocument/2006/relationships/hyperlink" Target="http://www.feevale.br/Comum/midias/8807f05a-14d0-4d5b-b1ad-1538f3aef538/E-book%20Metodologia%20do%20Trabalho%20Cientifico.pdf" TargetMode="Externa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200.239.128.16/handle/123456789/2260" TargetMode="External"/><Relationship Id="rId33" Type="http://schemas.openxmlformats.org/officeDocument/2006/relationships/hyperlink" Target="http://biblioteca.ibge.gov.br/visualizacao/livros/liv23907.pdf" TargetMode="Externa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yperlink" Target="http://revistas.poli.br/index.php/rep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1-5727-2427" TargetMode="External"/><Relationship Id="rId24" Type="http://schemas.openxmlformats.org/officeDocument/2006/relationships/hyperlink" Target="https://seer.ufrgs.br/renote/article/view/15257/9015" TargetMode="External"/><Relationship Id="rId32" Type="http://schemas.openxmlformats.org/officeDocument/2006/relationships/hyperlink" Target="http://revistas.poli.br/index.php/repa/issue/view/5"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doi.org/10.22456/1679-1916.15257" TargetMode="External"/><Relationship Id="rId28" Type="http://schemas.openxmlformats.org/officeDocument/2006/relationships/hyperlink" Target="http://revistas.poli.br/index.php/repa" TargetMode="External"/><Relationship Id="rId36" Type="http://schemas.openxmlformats.org/officeDocument/2006/relationships/fontTable" Target="fontTable.xml"/><Relationship Id="rId10" Type="http://schemas.openxmlformats.org/officeDocument/2006/relationships/hyperlink" Target="https://orcid.org/0000-0001-5727-2427" TargetMode="External"/><Relationship Id="rId19" Type="http://schemas.openxmlformats.org/officeDocument/2006/relationships/hyperlink" Target="http://creativecommons.org/licenses/by/4.0/" TargetMode="External"/><Relationship Id="rId31" Type="http://schemas.openxmlformats.org/officeDocument/2006/relationships/hyperlink" Target="mailto:pesquisa@poli.br" TargetMode="External"/><Relationship Id="rId4" Type="http://schemas.openxmlformats.org/officeDocument/2006/relationships/webSettings" Target="webSettings.xml"/><Relationship Id="rId9" Type="http://schemas.openxmlformats.org/officeDocument/2006/relationships/hyperlink" Target="https://orcid.org/0000-0001-5727-2427" TargetMode="Externa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yperlink" Target="http://lattes.cnpq.br/4564237305773815" TargetMode="External"/><Relationship Id="rId30" Type="http://schemas.openxmlformats.org/officeDocument/2006/relationships/hyperlink" Target="mailto:skjkjsjon@poli.br" TargetMode="External"/><Relationship Id="rId35" Type="http://schemas.openxmlformats.org/officeDocument/2006/relationships/hyperlink" Target="https://www.researchgate.net/publication/280573253_vicari_etal_2007" TargetMode="External"/><Relationship Id="rId8" Type="http://schemas.openxmlformats.org/officeDocument/2006/relationships/hyperlink" Target="https://orcid.org/0000-0001-5727-2427" TargetMode="External"/><Relationship Id="rId3" Type="http://schemas.openxmlformats.org/officeDocument/2006/relationships/settings" Target="settings.xml"/><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4037</Words>
  <Characters>21802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25788</CharactersWithSpaces>
  <SharedDoc>false</SharedDoc>
  <HLinks>
    <vt:vector size="114" baseType="variant">
      <vt:variant>
        <vt:i4>4653092</vt:i4>
      </vt:variant>
      <vt:variant>
        <vt:i4>48</vt:i4>
      </vt:variant>
      <vt:variant>
        <vt:i4>0</vt:i4>
      </vt:variant>
      <vt:variant>
        <vt:i4>5</vt:i4>
      </vt:variant>
      <vt:variant>
        <vt:lpwstr>https://www.researchgate.net/publication/280573253_vicari_etal_2007</vt:lpwstr>
      </vt:variant>
      <vt:variant>
        <vt:lpwstr/>
      </vt:variant>
      <vt:variant>
        <vt:i4>458831</vt:i4>
      </vt:variant>
      <vt:variant>
        <vt:i4>45</vt:i4>
      </vt:variant>
      <vt:variant>
        <vt:i4>0</vt:i4>
      </vt:variant>
      <vt:variant>
        <vt:i4>5</vt:i4>
      </vt:variant>
      <vt:variant>
        <vt:lpwstr>http://www.feevale.br/Comum/midias/8807f05a-14d0-4d5b-b1ad-1538f3aef538/E-book Metodologia do Trabalho Cientifico.pdf</vt:lpwstr>
      </vt:variant>
      <vt:variant>
        <vt:lpwstr/>
      </vt:variant>
      <vt:variant>
        <vt:i4>4128877</vt:i4>
      </vt:variant>
      <vt:variant>
        <vt:i4>42</vt:i4>
      </vt:variant>
      <vt:variant>
        <vt:i4>0</vt:i4>
      </vt:variant>
      <vt:variant>
        <vt:i4>5</vt:i4>
      </vt:variant>
      <vt:variant>
        <vt:lpwstr>http://biblioteca.ibge.gov.br/visualizacao/livros/liv23907.pdf</vt:lpwstr>
      </vt:variant>
      <vt:variant>
        <vt:lpwstr/>
      </vt:variant>
      <vt:variant>
        <vt:i4>8192045</vt:i4>
      </vt:variant>
      <vt:variant>
        <vt:i4>39</vt:i4>
      </vt:variant>
      <vt:variant>
        <vt:i4>0</vt:i4>
      </vt:variant>
      <vt:variant>
        <vt:i4>5</vt:i4>
      </vt:variant>
      <vt:variant>
        <vt:lpwstr>http://revistas.poli.br/index.php/repa/issue/view/5</vt:lpwstr>
      </vt:variant>
      <vt:variant>
        <vt:lpwstr/>
      </vt:variant>
      <vt:variant>
        <vt:i4>4391012</vt:i4>
      </vt:variant>
      <vt:variant>
        <vt:i4>36</vt:i4>
      </vt:variant>
      <vt:variant>
        <vt:i4>0</vt:i4>
      </vt:variant>
      <vt:variant>
        <vt:i4>5</vt:i4>
      </vt:variant>
      <vt:variant>
        <vt:lpwstr>mailto:pesquisa@poli.br</vt:lpwstr>
      </vt:variant>
      <vt:variant>
        <vt:lpwstr/>
      </vt:variant>
      <vt:variant>
        <vt:i4>5570674</vt:i4>
      </vt:variant>
      <vt:variant>
        <vt:i4>33</vt:i4>
      </vt:variant>
      <vt:variant>
        <vt:i4>0</vt:i4>
      </vt:variant>
      <vt:variant>
        <vt:i4>5</vt:i4>
      </vt:variant>
      <vt:variant>
        <vt:lpwstr>mailto:skjkjsjon@poli.br</vt:lpwstr>
      </vt:variant>
      <vt:variant>
        <vt:lpwstr/>
      </vt:variant>
      <vt:variant>
        <vt:i4>4063285</vt:i4>
      </vt:variant>
      <vt:variant>
        <vt:i4>30</vt:i4>
      </vt:variant>
      <vt:variant>
        <vt:i4>0</vt:i4>
      </vt:variant>
      <vt:variant>
        <vt:i4>5</vt:i4>
      </vt:variant>
      <vt:variant>
        <vt:lpwstr>http://revistas.poli.br/index.php/repa</vt:lpwstr>
      </vt:variant>
      <vt:variant>
        <vt:lpwstr/>
      </vt:variant>
      <vt:variant>
        <vt:i4>4063285</vt:i4>
      </vt:variant>
      <vt:variant>
        <vt:i4>27</vt:i4>
      </vt:variant>
      <vt:variant>
        <vt:i4>0</vt:i4>
      </vt:variant>
      <vt:variant>
        <vt:i4>5</vt:i4>
      </vt:variant>
      <vt:variant>
        <vt:lpwstr>http://revistas.poli.br/index.php/repa</vt:lpwstr>
      </vt:variant>
      <vt:variant>
        <vt:lpwstr/>
      </vt:variant>
      <vt:variant>
        <vt:i4>2359330</vt:i4>
      </vt:variant>
      <vt:variant>
        <vt:i4>24</vt:i4>
      </vt:variant>
      <vt:variant>
        <vt:i4>0</vt:i4>
      </vt:variant>
      <vt:variant>
        <vt:i4>5</vt:i4>
      </vt:variant>
      <vt:variant>
        <vt:lpwstr>http://lattes.cnpq.br/4564237305773815</vt:lpwstr>
      </vt:variant>
      <vt:variant>
        <vt:lpwstr/>
      </vt:variant>
      <vt:variant>
        <vt:i4>5242946</vt:i4>
      </vt:variant>
      <vt:variant>
        <vt:i4>21</vt:i4>
      </vt:variant>
      <vt:variant>
        <vt:i4>0</vt:i4>
      </vt:variant>
      <vt:variant>
        <vt:i4>5</vt:i4>
      </vt:variant>
      <vt:variant>
        <vt:lpwstr>http://www.aaende.org.ar/ingles/sitio/biblioteca/material/pdf/cote107.pdf</vt:lpwstr>
      </vt:variant>
      <vt:variant>
        <vt:lpwstr/>
      </vt:variant>
      <vt:variant>
        <vt:i4>6815856</vt:i4>
      </vt:variant>
      <vt:variant>
        <vt:i4>18</vt:i4>
      </vt:variant>
      <vt:variant>
        <vt:i4>0</vt:i4>
      </vt:variant>
      <vt:variant>
        <vt:i4>5</vt:i4>
      </vt:variant>
      <vt:variant>
        <vt:lpwstr>http://200.239.128.16/handle/123456789/2260</vt:lpwstr>
      </vt:variant>
      <vt:variant>
        <vt:lpwstr/>
      </vt:variant>
      <vt:variant>
        <vt:i4>5570584</vt:i4>
      </vt:variant>
      <vt:variant>
        <vt:i4>15</vt:i4>
      </vt:variant>
      <vt:variant>
        <vt:i4>0</vt:i4>
      </vt:variant>
      <vt:variant>
        <vt:i4>5</vt:i4>
      </vt:variant>
      <vt:variant>
        <vt:lpwstr>https://seer.ufrgs.br/renote/article/view/15257/9015</vt:lpwstr>
      </vt:variant>
      <vt:variant>
        <vt:lpwstr/>
      </vt:variant>
      <vt:variant>
        <vt:i4>1900627</vt:i4>
      </vt:variant>
      <vt:variant>
        <vt:i4>12</vt:i4>
      </vt:variant>
      <vt:variant>
        <vt:i4>0</vt:i4>
      </vt:variant>
      <vt:variant>
        <vt:i4>5</vt:i4>
      </vt:variant>
      <vt:variant>
        <vt:lpwstr>https://doi.org/10.22456/1679-1916.15257</vt:lpwstr>
      </vt:variant>
      <vt:variant>
        <vt:lpwstr/>
      </vt:variant>
      <vt:variant>
        <vt:i4>2752561</vt:i4>
      </vt:variant>
      <vt:variant>
        <vt:i4>9</vt:i4>
      </vt:variant>
      <vt:variant>
        <vt:i4>0</vt:i4>
      </vt:variant>
      <vt:variant>
        <vt:i4>5</vt:i4>
      </vt:variant>
      <vt:variant>
        <vt:lpwstr>http://periodicos.unicesumar.edu.br/index.php/rama/article/view/850</vt:lpwstr>
      </vt:variant>
      <vt:variant>
        <vt:lpwstr/>
      </vt:variant>
      <vt:variant>
        <vt:i4>6815797</vt:i4>
      </vt:variant>
      <vt:variant>
        <vt:i4>6</vt:i4>
      </vt:variant>
      <vt:variant>
        <vt:i4>0</vt:i4>
      </vt:variant>
      <vt:variant>
        <vt:i4>5</vt:i4>
      </vt:variant>
      <vt:variant>
        <vt:lpwstr>http://www.biblioteca.fsp.usp.br/~biblioteca/guia/i_cap_04.htm</vt:lpwstr>
      </vt:variant>
      <vt:variant>
        <vt:lpwstr/>
      </vt:variant>
      <vt:variant>
        <vt:i4>6488166</vt:i4>
      </vt:variant>
      <vt:variant>
        <vt:i4>3</vt:i4>
      </vt:variant>
      <vt:variant>
        <vt:i4>0</vt:i4>
      </vt:variant>
      <vt:variant>
        <vt:i4>5</vt:i4>
      </vt:variant>
      <vt:variant>
        <vt:lpwstr>http://creativecommons.org/licenses/by/4.0/</vt:lpwstr>
      </vt:variant>
      <vt:variant>
        <vt:lpwstr/>
      </vt:variant>
      <vt:variant>
        <vt:i4>5767217</vt:i4>
      </vt:variant>
      <vt:variant>
        <vt:i4>0</vt:i4>
      </vt:variant>
      <vt:variant>
        <vt:i4>0</vt:i4>
      </vt:variant>
      <vt:variant>
        <vt:i4>5</vt:i4>
      </vt:variant>
      <vt:variant>
        <vt:lpwstr>mailto:diego.rativa@poli.br</vt:lpwstr>
      </vt:variant>
      <vt:variant>
        <vt:lpwstr/>
      </vt:variant>
      <vt:variant>
        <vt:i4>5505042</vt:i4>
      </vt:variant>
      <vt:variant>
        <vt:i4>3</vt:i4>
      </vt:variant>
      <vt:variant>
        <vt:i4>0</vt:i4>
      </vt:variant>
      <vt:variant>
        <vt:i4>5</vt:i4>
      </vt:variant>
      <vt:variant>
        <vt:lpwstr>https://orcid.org/0000-0001-5727-2427</vt:lpwstr>
      </vt:variant>
      <vt:variant>
        <vt:lpwstr/>
      </vt:variant>
      <vt:variant>
        <vt:i4>5505042</vt:i4>
      </vt:variant>
      <vt:variant>
        <vt:i4>0</vt:i4>
      </vt:variant>
      <vt:variant>
        <vt:i4>0</vt:i4>
      </vt:variant>
      <vt:variant>
        <vt:i4>5</vt:i4>
      </vt:variant>
      <vt:variant>
        <vt:lpwstr>https://orcid.org/0000-0001-5727-2427</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Conta da Microsoft</cp:lastModifiedBy>
  <cp:revision>3</cp:revision>
  <cp:lastPrinted>2019-08-26T19:59:00Z</cp:lastPrinted>
  <dcterms:created xsi:type="dcterms:W3CDTF">2021-04-02T09:41:00Z</dcterms:created>
  <dcterms:modified xsi:type="dcterms:W3CDTF">2021-04-02T09:43:00Z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1046-10.2.0.7635</vt:lpwstr>
  </property>
</Properties>
</file>