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20"/>
        </w:rPr>
        <w:t>UNIVERSIDADE DE PERNAMBUCO – UPE</w:t>
        <w:br/>
        <w:t>ESCOLA POLITÉCNICA DE PERNAMBUCO – POLI</w:t>
        <w:br/>
        <w:t>PROGRAMA DE PÓS-GRADUAÇÃO E GRADUAÇÃO EM ENGENHARIA DA COMPUTAÇÃO</w:t>
      </w:r>
    </w:p>
    <w:p/>
    <w:p>
      <w:pPr>
        <w:jc w:val="center"/>
      </w:pPr>
      <w:r>
        <w:rPr>
          <w:b/>
          <w:color w:val="002060"/>
          <w:sz w:val="28"/>
        </w:rPr>
        <w:t>Mineração de Regras de Associação Macroeconômica no Estado da Arte (Apriori, QAR, TARM):</w:t>
        <w:br/>
        <w:t>Seções 2.2, 3.5 e 4.1 do Artigo Científico</w:t>
      </w:r>
    </w:p>
    <w:p>
      <w:pPr>
        <w:jc w:val="center"/>
      </w:pPr>
      <w:r>
        <w:rPr>
          <w:i/>
          <w:sz w:val="20"/>
        </w:rPr>
        <w:t>Disciplina: Mineração de Dados | Professor: Dr. Alexandre Maciel (alexandre.maciel@upe.br)</w:t>
        <w:br/>
        <w:t>Projeto de Pesquisa: Mineração de Séries Temporais para Previsão da Inflação (IPCA)</w:t>
      </w:r>
    </w:p>
    <w:p/>
    <w:p>
      <w:r>
        <w:rPr>
          <w:b/>
          <w:color w:val="002060"/>
          <w:sz w:val="26"/>
        </w:rPr>
        <w:t>2.2 Fundamentação Teórica dos Algoritmos de Mineração de Regras de Associação</w:t>
      </w:r>
    </w:p>
    <w:p>
      <w:pPr>
        <w:spacing w:line="276" w:lineRule="auto" w:after="80"/>
        <w:jc w:val="both"/>
      </w:pPr>
      <w:r>
        <w:rPr>
          <w:sz w:val="20"/>
        </w:rPr>
        <w:t xml:space="preserve">A tarefa de mineração de regras de associação (*Association Rule Mining* – ARM) consiste em descobrir indutivamente padrões frequentes de co-ocorrência, correlações e relações de dependência não lineares entre itens em bases de dados transacionais volumosas [7, 8, 9]. Diferentemente dos paradigmas supervisionados de regressão contínua ou classificação estrita — os quais exigem a fixação assimétrica prévia de um único atributo alvo dependente $Y = f(X)$ —, a mineração de associação investiga simetricamente o espaço combinatório de todos os subconjuntos de itens ($I$). Esse arcabouço permite descobrir regras lógicas da forma canônica $X </w:t>
        <w:br/>
        <w:t>ightarrow Y$, onde tanto o antecedente quanto o consequente podem ser combinações multivariadas livres de eventos macroeconômicos contemporâneos ou defasados [7, 10].</w:t>
      </w:r>
    </w:p>
    <w:p>
      <w:r>
        <w:rPr>
          <w:b/>
          <w:color w:val="203764"/>
          <w:sz w:val="22"/>
        </w:rPr>
        <w:t>2.2.1 Espaço de Itemsets e Notação Formal</w:t>
      </w:r>
    </w:p>
    <w:p>
      <w:pPr>
        <w:spacing w:line="276" w:lineRule="auto" w:after="80"/>
        <w:jc w:val="both"/>
      </w:pPr>
      <w:r>
        <w:rPr>
          <w:sz w:val="20"/>
        </w:rPr>
        <w:t>Seja $\mathcal{I} = \{i_1, i_2, \dots, i_m\}$ o vocabulário finito de itens macroeconômicos exógenos discretizados e seja $\mathcal{D} = \{T_1, T_2, \dots, T_N\}$ a base transacional composta por $N$ observações periódicas mensais, onde cada transação $T_k \subseteq \mathcal{I}$ representa o conjunto de estados ou choques verificados no $k$-ésimo mês [7]. Um subconjunto $X \subseteq \mathcal{I}$ contendo exatamente $k$ itens distintos é denominado formalmente um **$k$-itemset** [7].</w:t>
      </w:r>
    </w:p>
    <w:p>
      <w:pPr>
        <w:spacing w:line="276" w:lineRule="auto" w:after="80"/>
        <w:jc w:val="both"/>
      </w:pPr>
      <w:r>
        <w:rPr>
          <w:sz w:val="20"/>
        </w:rPr>
        <w:t>Uma regra de associação define-se como uma expressão de implicação lógica:</w:t>
      </w:r>
    </w:p>
    <w:p>
      <w:pPr>
        <w:spacing w:line="276" w:lineRule="auto" w:after="80"/>
        <w:jc w:val="both"/>
      </w:pPr>
      <w:r>
        <w:rPr>
          <w:sz w:val="20"/>
        </w:rPr>
        <w:t xml:space="preserve">$$X </w:t>
        <w:br/>
        <w:t>ightarrow Y, \qquad X, Y \subset \mathcal{I}, \quad X</w:t>
      </w:r>
    </w:p>
    <w:p>
      <w:pPr>
        <w:spacing w:line="276" w:lineRule="auto" w:after="80"/>
        <w:jc w:val="both"/>
      </w:pPr>
      <w:r>
        <w:rPr>
          <w:sz w:val="20"/>
        </w:rPr>
        <w:t>eq \emptyset, \quad Y</w:t>
      </w:r>
    </w:p>
    <w:p>
      <w:pPr>
        <w:spacing w:line="276" w:lineRule="auto" w:after="80"/>
        <w:jc w:val="both"/>
      </w:pPr>
      <w:r>
        <w:rPr>
          <w:sz w:val="20"/>
        </w:rPr>
        <w:t>eq \emptyset, \quad X \cap Y = \emptyset$$</w:t>
      </w:r>
    </w:p>
    <w:p>
      <w:pPr>
        <w:spacing w:line="276" w:lineRule="auto" w:after="80"/>
        <w:jc w:val="both"/>
      </w:pPr>
      <w:r>
        <w:rPr>
          <w:sz w:val="20"/>
        </w:rPr>
        <w:t>onde $X$ constitui o **antecedente** (premissa ou condição de entrada) e $Y$ representa o **consequente** (desfecho ou evento associado).</w:t>
      </w:r>
    </w:p>
    <w:p>
      <w:r>
        <w:rPr>
          <w:b/>
          <w:color w:val="203764"/>
          <w:sz w:val="22"/>
        </w:rPr>
        <w:t>2.2.2 Princípio Econométrico: Exclusão de Decomposições Contábeis Triviais</w:t>
      </w:r>
    </w:p>
    <w:p>
      <w:pPr>
        <w:spacing w:line="276" w:lineRule="auto" w:after="80"/>
        <w:jc w:val="both"/>
      </w:pPr>
      <w:r>
        <w:rPr>
          <w:sz w:val="20"/>
        </w:rPr>
        <w:t>Em aplicações macroeconômicas de mineração de dados, a literatura recente adverte para a **falácia da decomposição contábil**: como o índice de inflação cheio ($IPCA$) é definido matematicamente como a combinação linear ponderada de seus subíndices de despesas ($IPCA = \sum_{j} w_j IPCA_j$), a extração de regras que relacionam subitens entre si ou subitens com o índice cheio gera regras com alta confiança, porém destituídas de valor epistêmico e causal. Para superar essa limitação e atingir o estado da arte analítico, **expurgam-se da base transacional quaisquer correlações puramente internas entre subíndices de preços**. A modelagem restringe o catálogo de itens exclusivamente aos **fundamentos e choques macroeconômicos exógenos** (Câmbio, Insumos no Atacado, Política Monetária, Mercado de Trabalho e Atividade Real), avaliando seu impacto direto sobre o regime de inflação e a função de reação do Banco Central.</w:t>
      </w:r>
    </w:p>
    <w:p>
      <w:r>
        <w:rPr>
          <w:b/>
          <w:color w:val="203764"/>
          <w:sz w:val="22"/>
        </w:rPr>
        <w:t>2.2.3 Métricas Formais de Relevância e Dependência Estatística</w:t>
      </w:r>
    </w:p>
    <w:p>
      <w:pPr>
        <w:spacing w:line="276" w:lineRule="auto" w:after="80"/>
        <w:jc w:val="both"/>
      </w:pPr>
      <w:r>
        <w:rPr>
          <w:sz w:val="20"/>
        </w:rPr>
        <w:t>A relevância econométrica e a robustez algorítmica de uma regra de associação são quantificadas por um comitê multidimensional de métricas de interesse propostas na literatura clássica e no estado da arte [7, 8]:</w:t>
      </w:r>
    </w:p>
    <w:p>
      <w:pPr>
        <w:spacing w:line="276" w:lineRule="auto" w:after="80"/>
        <w:jc w:val="both"/>
      </w:pPr>
      <w:r>
        <w:rPr>
          <w:sz w:val="20"/>
        </w:rPr>
        <w:t>1. **Suporte Estatístico ($Sup$):** Quantifica a prevalência amostral global da co-ocorrência simultânea entre $X$ e $Y$:</w:t>
      </w:r>
    </w:p>
    <w:p>
      <w:pPr>
        <w:spacing w:line="276" w:lineRule="auto" w:after="80"/>
        <w:jc w:val="both"/>
      </w:pPr>
      <w:r>
        <w:rPr>
          <w:sz w:val="20"/>
        </w:rPr>
        <w:t xml:space="preserve">$$Sup(X </w:t>
        <w:br/>
        <w:t>ightarrow Y) = P(X \cup Y) = rac{\sigma(X \cup Y)}{N}$$</w:t>
      </w:r>
    </w:p>
    <w:p>
      <w:pPr>
        <w:spacing w:line="276" w:lineRule="auto" w:after="80"/>
        <w:jc w:val="both"/>
      </w:pPr>
      <w:r>
        <w:rPr>
          <w:sz w:val="20"/>
        </w:rPr>
        <w:t>onde $\sigma(A) = |\{T \in \mathcal{D} \mid A \subseteq T\}|$ denota a frequência absoluta de suporte do itemset $A$.</w:t>
      </w:r>
    </w:p>
    <w:p>
      <w:pPr>
        <w:spacing w:line="276" w:lineRule="auto" w:after="80"/>
        <w:jc w:val="both"/>
      </w:pPr>
      <w:r>
        <w:rPr>
          <w:sz w:val="20"/>
        </w:rPr>
        <w:t>2. **Confiança ($Conf$ / Acurácia Condicional):** Mensura a probabilidade condicional empírica de observar $Y$ dado que a transação contém $X$:</w:t>
      </w:r>
    </w:p>
    <w:p>
      <w:pPr>
        <w:spacing w:line="276" w:lineRule="auto" w:after="80"/>
        <w:jc w:val="both"/>
      </w:pPr>
      <w:r>
        <w:rPr>
          <w:sz w:val="20"/>
        </w:rPr>
        <w:t xml:space="preserve">$$Conf(X </w:t>
        <w:br/>
        <w:t>ightarrow Y) = P(Y \mid X) = rac{\sigma(X \cup Y)}{\sigma(X)} = rac{Sup(X \cup Y)}{Sup(X)}$$</w:t>
      </w:r>
    </w:p>
    <w:p>
      <w:pPr>
        <w:spacing w:line="276" w:lineRule="auto" w:after="80"/>
        <w:jc w:val="both"/>
      </w:pPr>
      <w:r>
        <w:rPr>
          <w:sz w:val="20"/>
        </w:rPr>
        <w:t>3. **Lift (Razão de Dependência Estatística / Força de Associação):** Avalia em que medida a presença do antecedente eleva a probabilidade de manifestação do consequente relativamente à independência estocástica:</w:t>
      </w:r>
    </w:p>
    <w:p>
      <w:pPr>
        <w:spacing w:line="276" w:lineRule="auto" w:after="80"/>
        <w:jc w:val="both"/>
      </w:pPr>
      <w:r>
        <w:rPr>
          <w:sz w:val="20"/>
        </w:rPr>
        <w:t xml:space="preserve">$$Lift(X </w:t>
        <w:br/>
        <w:t xml:space="preserve">ightarrow Y) = rac{P(X \cup Y)}{P(X) \cdot P(Y)} = rac{Conf(X </w:t>
        <w:br/>
        <w:t>ightarrow Y)}{Sup(Y)}$$</w:t>
      </w:r>
    </w:p>
    <w:p>
      <w:pPr>
        <w:spacing w:line="276" w:lineRule="auto" w:after="80"/>
        <w:jc w:val="both"/>
      </w:pPr>
      <w:r>
        <w:rPr>
          <w:sz w:val="20"/>
        </w:rPr>
        <w:t>- $Lift = 1,0$: Antecedente e consequente são estatisticamente independentes;</w:t>
      </w:r>
    </w:p>
    <w:p>
      <w:pPr>
        <w:spacing w:line="276" w:lineRule="auto" w:after="80"/>
        <w:jc w:val="both"/>
      </w:pPr>
      <w:r>
        <w:rPr>
          <w:sz w:val="20"/>
        </w:rPr>
        <w:t>- $Lift &gt; 1,0$: Associação positiva real; a ocorrência dos choques em $X$ eleva substancialmente a probabilidade de $Y$;</w:t>
      </w:r>
    </w:p>
    <w:p>
      <w:pPr>
        <w:spacing w:line="276" w:lineRule="auto" w:after="80"/>
        <w:jc w:val="both"/>
      </w:pPr>
      <w:r>
        <w:rPr>
          <w:sz w:val="20"/>
        </w:rPr>
        <w:t>- $Lift &lt; 1,0$: Associação repulsiva ou de substituição.</w:t>
      </w:r>
    </w:p>
    <w:p>
      <w:pPr>
        <w:spacing w:line="276" w:lineRule="auto" w:after="80"/>
        <w:jc w:val="both"/>
      </w:pPr>
      <w:r>
        <w:rPr>
          <w:sz w:val="20"/>
        </w:rPr>
        <w:t>4. **Convicção (*Conviction*):** Quantifica a dependência direcional da implicação lógica:</w:t>
      </w:r>
    </w:p>
    <w:p>
      <w:pPr>
        <w:spacing w:line="276" w:lineRule="auto" w:after="80"/>
        <w:jc w:val="both"/>
      </w:pPr>
      <w:r>
        <w:rPr>
          <w:sz w:val="20"/>
        </w:rPr>
        <w:t xml:space="preserve">$$Conv(X </w:t>
        <w:br/>
        <w:t xml:space="preserve">ightarrow Y) = rac{1 - Sup(Y)}{1 - Conf(X </w:t>
        <w:br/>
        <w:t>ightarrow Y)}$$</w:t>
      </w:r>
    </w:p>
    <w:p>
      <w:pPr>
        <w:spacing w:line="276" w:lineRule="auto" w:after="80"/>
        <w:jc w:val="both"/>
      </w:pPr>
      <w:r>
        <w:rPr>
          <w:sz w:val="20"/>
        </w:rPr>
        <w:t xml:space="preserve">5. **Teste Exato de Fisher ($p$-valor contra Associações Espúrias):** Avaliação de contingência $2 </w:t>
        <w:tab/>
        <w:t>imes 2$ sob a distribuição hipergeométrica exata:</w:t>
      </w:r>
    </w:p>
    <w:p>
      <w:pPr>
        <w:spacing w:line="276" w:lineRule="auto" w:after="80"/>
        <w:jc w:val="both"/>
      </w:pPr>
      <w:r>
        <w:rPr>
          <w:sz w:val="20"/>
        </w:rPr>
        <w:t>$$p = rac{inom{\sigma(X)}{a} inom{N - \sigma(X)}{\sigma(Y) - a}}{inom{N}{\sigma(Y)}}, \qquad a = \sigma(X \cup Y)$$</w:t>
      </w:r>
    </w:p>
    <w:p>
      <w:pPr>
        <w:spacing w:line="276" w:lineRule="auto" w:after="80"/>
        <w:jc w:val="both"/>
      </w:pPr>
      <w:r>
        <w:rPr>
          <w:sz w:val="20"/>
        </w:rPr>
        <w:t>Preservam-se estritamente regras com significância estatística comprovada ($p &lt; 0,05$).</w:t>
      </w:r>
    </w:p>
    <w:p>
      <w:r>
        <w:rPr>
          <w:b/>
          <w:color w:val="203764"/>
          <w:sz w:val="22"/>
        </w:rPr>
        <w:t>2.2.4 O Algoritmo Apriori e o Princípio da Antimonotonicidade do Suporte</w:t>
      </w:r>
    </w:p>
    <w:p>
      <w:pPr>
        <w:spacing w:line="276" w:lineRule="auto" w:after="80"/>
        <w:jc w:val="both"/>
      </w:pPr>
      <w:r>
        <w:rPr>
          <w:sz w:val="20"/>
        </w:rPr>
        <w:t>Formulado por Agrawal e Srikant (1994) [7], o **Algoritmo Apriori** resolve a complexidade combinatória da busca em grafos de itemsets mediante o **Princípio da Antimonotonicidade do Suporte** (*Downward-Closure Property*):</w:t>
      </w:r>
    </w:p>
    <w:p>
      <w:pPr>
        <w:spacing w:line="276" w:lineRule="auto" w:after="80"/>
        <w:jc w:val="both"/>
      </w:pPr>
      <w:r>
        <w:rPr>
          <w:sz w:val="20"/>
        </w:rPr>
        <w:t>$$orall A \subseteq B \implies Sup(A) \ge Sup(B)$$</w:t>
      </w:r>
    </w:p>
    <w:p>
      <w:pPr>
        <w:spacing w:line="276" w:lineRule="auto" w:after="80"/>
        <w:jc w:val="both"/>
      </w:pPr>
      <w:r>
        <w:rPr>
          <w:sz w:val="20"/>
        </w:rPr>
        <w:t>Se um $k$-itemset $C$ é infrequente ($Sup(C) &lt; MinSup$), qualquer superset $D \supset C$ de dimensão $(k+1)$ é garantidamente infrequente e é eliminado antes do cômputo na base de dados, viabilizando a busca polinomial eficiente.</w:t>
      </w:r>
    </w:p>
    <w:p>
      <w:r>
        <w:rPr>
          <w:b/>
          <w:color w:val="002060"/>
          <w:sz w:val="26"/>
        </w:rPr>
        <w:t>3.5 Metodologia Experimental do Projeto: Mineração Macroeconômica Causal Exógena</w:t>
      </w:r>
    </w:p>
    <w:p>
      <w:pPr>
        <w:spacing w:line="276" w:lineRule="auto" w:after="80"/>
        <w:jc w:val="both"/>
      </w:pPr>
      <w:r>
        <w:rPr>
          <w:sz w:val="20"/>
        </w:rPr>
        <w:t>A aplicação de regras de associação sobre o painel macroeconômico do Brasil (2012–2026) fundamentou-se em uma arquitetura experimental voltada à descoberta de relações estruturais puras entre choques exógenos e a dinâmica de preços [6, 7].</w:t>
      </w:r>
    </w:p>
    <w:p>
      <w:r>
        <w:rPr>
          <w:b/>
          <w:color w:val="203764"/>
          <w:sz w:val="22"/>
        </w:rPr>
        <w:t>3.5.1 Mapeamento e Transacionalização do Painel Macroeconômico</w:t>
      </w:r>
    </w:p>
    <w:p>
      <w:pPr>
        <w:spacing w:line="276" w:lineRule="auto" w:after="80"/>
        <w:jc w:val="both"/>
      </w:pPr>
      <w:r>
        <w:rPr>
          <w:sz w:val="20"/>
        </w:rPr>
        <w:t>O painel temporal contempla **174 meses contínuos (Março/2012 a Agosto/2026)** com dados do SGS/BACEN e IBGE. Imputações em séries de mercado de trabalho foram conduzidas estritamente via *forward fill* (`ffill`) para prevenir qualquer contaminação prospectiva (*lookahead bias*).</w:t>
      </w:r>
    </w:p>
    <w:p>
      <w:pPr>
        <w:spacing w:line="276" w:lineRule="auto" w:after="80"/>
        <w:jc w:val="both"/>
      </w:pPr>
      <w:r>
        <w:rPr>
          <w:sz w:val="20"/>
        </w:rPr>
        <w:t>Estruturaram-se duas perspectivas transacionais:</w:t>
      </w:r>
    </w:p>
    <w:p>
      <w:pPr>
        <w:spacing w:line="276" w:lineRule="auto" w:after="80"/>
        <w:jc w:val="both"/>
      </w:pPr>
      <w:r>
        <w:rPr>
          <w:sz w:val="20"/>
        </w:rPr>
        <w:t>1. **Perspectiva Síncrona Contemporânea ($h=0$):** Transações mensais modelando as condições macroeconômicas vigentes no mesmo mês ($N = 174$ transações);</w:t>
      </w:r>
    </w:p>
    <w:p>
      <w:pPr>
        <w:spacing w:line="276" w:lineRule="auto" w:after="80"/>
        <w:jc w:val="both"/>
      </w:pPr>
      <w:r>
        <w:rPr>
          <w:sz w:val="20"/>
        </w:rPr>
        <w:t xml:space="preserve">2. **Perspectiva Temporal Causal ($t-1 </w:t>
        <w:br/>
        <w:t>ightarrow t$):** Transações em que os antecedentes são restritos estritamente às variáveis observadas no mês $t-1$ (sinalizadas com o sufixo `_lag1`) e o consequente representa o regime do IPCA do mês $t$ (`TARGET_IPCA_*`), totalizando $N = 173$ transações causais sem vazamento informacional.</w:t>
      </w:r>
    </w:p>
    <w:p>
      <w:r>
        <w:rPr>
          <w:b/>
          <w:color w:val="203764"/>
          <w:sz w:val="22"/>
        </w:rPr>
        <w:t>3.5.2 Engenharia de Discretização Macroeconômica (QAR)</w:t>
      </w:r>
    </w:p>
    <w:p>
      <w:pPr>
        <w:spacing w:line="276" w:lineRule="auto" w:after="80"/>
        <w:jc w:val="both"/>
      </w:pPr>
      <w:r>
        <w:rPr>
          <w:sz w:val="20"/>
        </w:rPr>
        <w:t>Os dados contínuos foram categorizados em itens discretos ancorados em fundamentos econômicos e metas do Conselho Monetário Nacional (CMN):</w:t>
      </w:r>
    </w:p>
    <w:p>
      <w:pPr>
        <w:spacing w:line="276" w:lineRule="auto" w:after="80"/>
        <w:jc w:val="both"/>
      </w:pPr>
      <w:r>
        <w:rPr>
          <w:sz w:val="20"/>
        </w:rPr>
        <w:t>- **Alvo Macroeconômico Único (Regime de Inflação do IPCA Cheio):**</w:t>
      </w:r>
    </w:p>
    <w:p>
      <w:pPr>
        <w:spacing w:line="276" w:lineRule="auto" w:after="80"/>
        <w:jc w:val="both"/>
      </w:pPr>
      <w:r>
        <w:rPr>
          <w:sz w:val="20"/>
        </w:rPr>
        <w:t>- `IPCA_Deflacao`: $IPCA \le 0,00\%$ ($N = 28$ meses, 16,1%);</w:t>
      </w:r>
    </w:p>
    <w:p>
      <w:pPr>
        <w:spacing w:line="276" w:lineRule="auto" w:after="80"/>
        <w:jc w:val="both"/>
      </w:pPr>
      <w:r>
        <w:rPr>
          <w:sz w:val="20"/>
        </w:rPr>
        <w:t>- `IPCA_Meta`: $0,00\% &lt; IPCA \le 0,50\%$ ($N = 76$ meses, 43,7%, faixa da meta CMN);</w:t>
      </w:r>
    </w:p>
    <w:p>
      <w:pPr>
        <w:spacing w:line="276" w:lineRule="auto" w:after="80"/>
        <w:jc w:val="both"/>
      </w:pPr>
      <w:r>
        <w:rPr>
          <w:sz w:val="20"/>
        </w:rPr>
        <w:t>- `IPCA_Alta`: $IPCA &gt; 0,50\%$ ($N = 70$ meses, 40,2%, rompendo o teto da meta).</w:t>
      </w:r>
    </w:p>
    <w:p>
      <w:pPr>
        <w:spacing w:line="276" w:lineRule="auto" w:after="80"/>
        <w:jc w:val="both"/>
      </w:pPr>
      <w:r>
        <w:rPr>
          <w:sz w:val="20"/>
        </w:rPr>
        <w:t>- **Câmbio e Repasse Cambial (*Pass-Through*):**</w:t>
      </w:r>
    </w:p>
    <w:p>
      <w:pPr>
        <w:spacing w:line="276" w:lineRule="auto" w:after="80"/>
        <w:jc w:val="both"/>
      </w:pPr>
      <w:r>
        <w:rPr>
          <w:sz w:val="20"/>
        </w:rPr>
        <w:t>- `Dolar_Alto`: Taxa $USDBRL &gt; 5,00$;</w:t>
      </w:r>
    </w:p>
    <w:p>
      <w:pPr>
        <w:spacing w:line="276" w:lineRule="auto" w:after="80"/>
        <w:jc w:val="both"/>
      </w:pPr>
      <w:r>
        <w:rPr>
          <w:sz w:val="20"/>
        </w:rPr>
        <w:t>- `Dolar_Baixo`: Taxa $USDBRL &lt; 3,20$;</w:t>
      </w:r>
    </w:p>
    <w:p>
      <w:pPr>
        <w:spacing w:line="276" w:lineRule="auto" w:after="80"/>
        <w:jc w:val="both"/>
      </w:pPr>
      <w:r>
        <w:rPr>
          <w:sz w:val="20"/>
        </w:rPr>
        <w:t>- `Dolar_Acelerando`: Variação cambial mensal positiva $\Delta USDBRL_t &gt; +0,05$.</w:t>
      </w:r>
    </w:p>
    <w:p>
      <w:pPr>
        <w:spacing w:line="276" w:lineRule="auto" w:after="80"/>
        <w:jc w:val="both"/>
      </w:pPr>
      <w:r>
        <w:rPr>
          <w:sz w:val="20"/>
        </w:rPr>
        <w:t>- **Custos no Atacado e Insumos (IGP-M):**</w:t>
      </w:r>
    </w:p>
    <w:p>
      <w:pPr>
        <w:spacing w:line="276" w:lineRule="auto" w:after="80"/>
        <w:jc w:val="both"/>
      </w:pPr>
      <w:r>
        <w:rPr>
          <w:sz w:val="20"/>
        </w:rPr>
        <w:t>- `IGP_M_Alto`: Variação do $IGP\_M &gt; 0,80\%$ (choque no atacado agroindustrial);</w:t>
      </w:r>
    </w:p>
    <w:p>
      <w:pPr>
        <w:spacing w:line="276" w:lineRule="auto" w:after="80"/>
        <w:jc w:val="both"/>
      </w:pPr>
      <w:r>
        <w:rPr>
          <w:sz w:val="20"/>
        </w:rPr>
        <w:t>- `IGP_M_Deflacao`: $IGP\_M &lt; 0,00\%$.</w:t>
      </w:r>
    </w:p>
    <w:p>
      <w:pPr>
        <w:spacing w:line="276" w:lineRule="auto" w:after="80"/>
        <w:jc w:val="both"/>
      </w:pPr>
      <w:r>
        <w:rPr>
          <w:sz w:val="20"/>
        </w:rPr>
        <w:t>- **Política Monetária (Taxa SELIC):**</w:t>
      </w:r>
    </w:p>
    <w:p>
      <w:pPr>
        <w:spacing w:line="276" w:lineRule="auto" w:after="80"/>
        <w:jc w:val="both"/>
      </w:pPr>
      <w:r>
        <w:rPr>
          <w:sz w:val="20"/>
        </w:rPr>
        <w:t>- `SELIC_Restritiva`: Taxa básica $SELIC &gt; 0,90\%$ ao mês ($&gt; 11,3\%$ a.a.);</w:t>
      </w:r>
    </w:p>
    <w:p>
      <w:pPr>
        <w:spacing w:line="276" w:lineRule="auto" w:after="80"/>
        <w:jc w:val="both"/>
      </w:pPr>
      <w:r>
        <w:rPr>
          <w:sz w:val="20"/>
        </w:rPr>
        <w:t>- `SELIC_Estimulativa`: Taxa básica $SELIC &lt; 0,55\%$ ao mês ($&lt; 6,8\%$ a.a.);</w:t>
      </w:r>
    </w:p>
    <w:p>
      <w:pPr>
        <w:spacing w:line="276" w:lineRule="auto" w:after="80"/>
        <w:jc w:val="both"/>
      </w:pPr>
      <w:r>
        <w:rPr>
          <w:sz w:val="20"/>
        </w:rPr>
        <w:t>- `SELIC_Aperto`: Inflexão positiva mensal $\Delta SELIC_t &gt; 0,00\%$.</w:t>
      </w:r>
    </w:p>
    <w:p>
      <w:pPr>
        <w:spacing w:line="276" w:lineRule="auto" w:after="80"/>
        <w:jc w:val="both"/>
      </w:pPr>
      <w:r>
        <w:rPr>
          <w:sz w:val="20"/>
        </w:rPr>
        <w:t>- **Mercado de Trabalho e Atividade Real (Curva de Phillips):**</w:t>
      </w:r>
    </w:p>
    <w:p>
      <w:pPr>
        <w:spacing w:line="276" w:lineRule="auto" w:after="80"/>
        <w:jc w:val="both"/>
      </w:pPr>
      <w:r>
        <w:rPr>
          <w:sz w:val="20"/>
        </w:rPr>
        <w:t>- `Desemprego_Baixo`: Taxa de desocupação $&lt; 8,5\%$ (mercado de trabalho aquecido);</w:t>
      </w:r>
    </w:p>
    <w:p>
      <w:pPr>
        <w:spacing w:line="276" w:lineRule="auto" w:after="80"/>
        <w:jc w:val="both"/>
      </w:pPr>
      <w:r>
        <w:rPr>
          <w:sz w:val="20"/>
        </w:rPr>
        <w:t>- `Desemprego_Alto`: Taxa de desocupação $&gt; 11,5\%$ (recessão e hiato negativo);</w:t>
      </w:r>
    </w:p>
    <w:p>
      <w:pPr>
        <w:spacing w:line="276" w:lineRule="auto" w:after="80"/>
        <w:jc w:val="both"/>
      </w:pPr>
      <w:r>
        <w:rPr>
          <w:sz w:val="20"/>
        </w:rPr>
        <w:t>- `Energia_Demanda_Alta`: Expansão mensal do consumo de energia $\Delta Consumo\_Energia\_Total &gt; 500$ GWh.</w:t>
      </w:r>
    </w:p>
    <w:p>
      <w:r>
        <w:rPr>
          <w:b/>
          <w:color w:val="203764"/>
          <w:sz w:val="22"/>
        </w:rPr>
        <w:t>3.5.3 Hiperparâmetros e Validação Out-of-Sample (Walk-Forward)</w:t>
      </w:r>
    </w:p>
    <w:p>
      <w:pPr>
        <w:spacing w:line="276" w:lineRule="auto" w:after="80"/>
        <w:jc w:val="both"/>
      </w:pPr>
      <w:r>
        <w:rPr>
          <w:sz w:val="20"/>
        </w:rPr>
        <w:t>Os hiperparâmetros foram calibrados em $MinSup = 0,08$ (8% de prevalência amostral $pprox 14$ meses históricos), $MinConf = 0,55$ (55% de acurácia condicional mínima) e filtro de corte $Lift \ge 1,15$, associados à exigência de significância $p &lt; 0,05$ no Teste de Fisher.</w:t>
      </w:r>
    </w:p>
    <w:p>
      <w:pPr>
        <w:spacing w:line="276" w:lineRule="auto" w:after="80"/>
        <w:jc w:val="both"/>
      </w:pPr>
      <w:r>
        <w:rPr>
          <w:sz w:val="20"/>
        </w:rPr>
        <w:t>A estabilidade foi aferida na partição cronológica *out-of-sample*:</w:t>
      </w:r>
    </w:p>
    <w:p>
      <w:pPr>
        <w:spacing w:line="276" w:lineRule="auto" w:after="80"/>
        <w:jc w:val="both"/>
      </w:pPr>
      <w:r>
        <w:rPr>
          <w:sz w:val="20"/>
        </w:rPr>
        <w:t>- **Subconjunto de Treino Histórico (2012–2021):** 118 meses contínuos ($67,8\%$ da amostra);</w:t>
      </w:r>
    </w:p>
    <w:p>
      <w:pPr>
        <w:spacing w:line="276" w:lineRule="auto" w:after="80"/>
        <w:jc w:val="both"/>
      </w:pPr>
      <w:r>
        <w:rPr>
          <w:sz w:val="20"/>
        </w:rPr>
        <w:t>- **Subconjunto de Teste de Estresse (2022–2026):** 56 meses contínuos ($32,2\%$ da amostra), cobrindo a eclosão do choque de commodities da Guerra da Ucrânia e o ciclo de juros pós-pandêmico.</w:t>
      </w:r>
    </w:p>
    <w:p>
      <w:r>
        <w:rPr>
          <w:b/>
          <w:color w:val="002060"/>
          <w:sz w:val="26"/>
        </w:rPr>
        <w:t>4.1 Resultados Obtidos na Mineração Macroeconômica e Discussão Teórica</w:t>
      </w:r>
    </w:p>
    <w:p>
      <w:pPr>
        <w:spacing w:line="276" w:lineRule="auto" w:after="80"/>
        <w:jc w:val="both"/>
      </w:pPr>
      <w:r>
        <w:rPr>
          <w:sz w:val="20"/>
        </w:rPr>
        <w:t>A execução do pipeline Apriori sobre a base transacional purificada de decomposições contábeis identificou **132 itemsets frequentes**, gerando **44 regras macroeconômicas contemporâneas puras** e **23 regras temporais causais de alerta antecipado** direcionadas exclusivamente ao IPCA.</w:t>
      </w:r>
    </w:p>
    <w:p>
      <w:r>
        <w:rPr>
          <w:b/>
          <w:color w:val="203764"/>
          <w:sz w:val="22"/>
        </w:rPr>
        <w:t>4.1.1 Análise das Regras Macroeconômicas Síncronas (Choques Exógenos)</w:t>
      </w:r>
    </w:p>
    <w:p>
      <w:pPr>
        <w:spacing w:line="276" w:lineRule="auto" w:after="80"/>
        <w:jc w:val="both"/>
      </w:pPr>
      <w:r>
        <w:rPr>
          <w:sz w:val="20"/>
        </w:rPr>
        <w:t>A Tabela 1 apresenta as principais regras síncronas descobertas, ranqueadas por sua força de dependência estatística ($Lift$).</w:t>
      </w:r>
    </w:p>
    <w:p>
      <w:r>
        <w:rPr>
          <w:b/>
          <w:color w:val="002060"/>
          <w:sz w:val="21"/>
        </w:rPr>
        <w:t>Tabela 1 – Principais Regras Macroeconômicas Síncronas de Associação (Ranqueadas por Lift)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Antecedente Exógeno (X)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Consequente (Y)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Suporte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Confiança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Lift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p-valor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Dolar_Alto &amp; SELIC_Estimulativa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Desemprego_Alto &amp; IPCA_Alta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8.6%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75.0%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6.87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3.19e-14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Desemprego_Alto &amp; IPCA_Alta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Dolar_Alto &amp; SELIC_Estimulativa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8.6%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78.9%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6.87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3.19e-14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 &amp; Dolar_Alto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IPCA_Alta &amp; SELIC_Estimulativa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8.6%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71.4%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6.21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4.20e-13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 &amp; IGP_M_Alto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SELIC_Estimulativa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12.1%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3.78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1.11e-14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 &amp; Dolar_Alto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SELIC_Estimulativa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11.5%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95.2%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3.60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1.16e-12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 &amp; Dolar_Alto &amp; IPCA_Alta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SELIC_Estimulativa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8.6%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93.8%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3.55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4.01e-09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 &amp; IPCA_Alta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SELIC_Estimulativa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9.2%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84.2%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3.19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3.20e-08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 &amp; Dolar_Acelerando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SELIC_Estimulativa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12.1%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80.8%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3.06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3.09e-10</w:t>
            </w:r>
          </w:p>
        </w:tc>
      </w:tr>
    </w:tbl>
    <w:p/>
    <w:p>
      <w:pPr>
        <w:spacing w:line="276" w:lineRule="auto" w:after="80"/>
        <w:jc w:val="both"/>
      </w:pPr>
      <w:r>
        <w:rPr>
          <w:sz w:val="20"/>
        </w:rPr>
        <w:t>A interpretação macroeconômica dessas regras revela dinâmicas de elevado impacto para a literatura de finanças e bancos centrais:</w:t>
      </w:r>
    </w:p>
    <w:p>
      <w:pPr>
        <w:spacing w:line="276" w:lineRule="auto" w:after="80"/>
        <w:jc w:val="both"/>
      </w:pPr>
      <w:r>
        <w:rPr>
          <w:sz w:val="20"/>
        </w:rPr>
        <w:t xml:space="preserve">1. **O Regime Crítico de Estagflação com Juros Desalinhados:** A regra com maior Lift da pesquisa (`Dolar_Alto &amp; SELIC_Estimulativa -&gt; Desemprego_Alto &amp; IPCA_Alta`, $Lift = 6,87$; $p = 3,19 </w:t>
        <w:tab/>
        <w:t>imes 10^{-14}$) captura o episódio histórico de maior estresse da economia brasileira (o período recessivo de 2015–2016 e a crise cambial de 2020–2021). Quando o câmbio sofre desvalorização acentuada e a política monetária inicial permanece estimulativa, a economia colapsa em desemprego elevado associado à inflação acima do teto da meta em 75% dos meses;</w:t>
      </w:r>
    </w:p>
    <w:p>
      <w:pPr>
        <w:spacing w:line="276" w:lineRule="auto" w:after="80"/>
        <w:jc w:val="both"/>
      </w:pPr>
      <w:r>
        <w:rPr>
          <w:sz w:val="20"/>
        </w:rPr>
        <w:t xml:space="preserve">2. **Pressão Conjunta de Demanda e Custos no Atacado:** A regra `Energia_Demanda_Alta &amp; IGP_M_Alto -&gt; IPCA_Alta` alcançou **82,4% de confiança** e **Lift de 2,05** ($p = 2,55 </w:t>
        <w:tab/>
        <w:t>imes 10^{-4}$). Esse resultado demonstra empiricamente que quando a expansão da demanda por energia industrial co-ocorre com choques de insumos no atacado (IGP-M), a capacidade de absorção de margens das empresas esgota-se, repassando custos para o consumidor final em mais de 82% das ocorrências;</w:t>
      </w:r>
    </w:p>
    <w:p>
      <w:pPr>
        <w:spacing w:line="276" w:lineRule="auto" w:after="80"/>
        <w:jc w:val="both"/>
      </w:pPr>
      <w:r>
        <w:rPr>
          <w:sz w:val="20"/>
        </w:rPr>
        <w:t xml:space="preserve">3. **Desacoplamento da Curva de Phillips:** A presença simultânea de `Desemprego_Alto &amp; Dolar_Alto` gera `IPCA_Alta` com **76,2% de confiança** ($Lift = 1,89$; $p = 4,29 </w:t>
        <w:tab/>
        <w:t>imes 10^{-4}$), confirmando que choques cambiais de grande magnitude quebram a relação linear tradicional da Curva de Phillips (na qual o desemprego conteria os preços).</w:t>
      </w:r>
    </w:p>
    <w:p>
      <w:r>
        <w:rPr>
          <w:b/>
          <w:color w:val="203764"/>
          <w:sz w:val="22"/>
        </w:rPr>
        <w:t xml:space="preserve">4.1.2 Análise das Regras Temporais Causais de Alerta Antecipado ($t-1 </w:t>
        <w:br/>
        <w:t>ightarrow t$)</w:t>
      </w:r>
    </w:p>
    <w:p>
      <w:pPr>
        <w:spacing w:line="276" w:lineRule="auto" w:after="80"/>
        <w:jc w:val="both"/>
      </w:pPr>
      <w:r>
        <w:rPr>
          <w:sz w:val="20"/>
        </w:rPr>
        <w:t>Ao aplicar o operador de defasagem temporal estrito no qual todos os antecedentes são mensurados exclusivamente no mês $t-1$, a Tabela 2 apresenta as regras preditivas de alerta para a inflação do mês $t$.</w:t>
      </w:r>
    </w:p>
    <w:p>
      <w:r>
        <w:rPr>
          <w:b/>
          <w:color w:val="002060"/>
          <w:sz w:val="21"/>
        </w:rPr>
        <w:t xml:space="preserve">Tabela 2 – Top Regras Temporais Causais de Alerta Antecipado ($t-1 </w:t>
        <w:br/>
        <w:t>ightarrow t$) para a Inflação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Antecedente Defasado (t-1)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Regime Contemporâneo (t)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Suporte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Confiança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Lift</w:t>
            </w:r>
          </w:p>
        </w:tc>
        <w:tc>
          <w:tcPr>
            <w:tcW w:type="dxa" w:w="1567"/>
            <w:shd w:val="clear" w:color="auto" w:fill="00206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p-valor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Desemprego_Alto_lag1 &amp; Dolar_Alto_lag1 &amp; IPCA_Alta_lag1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TARGET_IPCA_Alta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8.7%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93.8%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2.32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5.10e-06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Dolar_Alto_lag1 &amp; IGP_M_Alto_lag1 &amp; IPCA_Alta_lag1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/>
                <w:color w:val="002060"/>
                <w:sz w:val="16"/>
              </w:rPr>
              <w:t>TARGET_IPCA_Alta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8.7%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88.2%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2.18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color w:val="002060"/>
                <w:sz w:val="16"/>
              </w:rPr>
              <w:t>2.92e-05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Dolar_Alto_lag1 &amp; IPCA_Alta_lag1 &amp; SELIC_Aperto_lag1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TARGET_IPCA_Alta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8.1%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87.5%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7.26e-05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Desemprego_Alto_lag1 &amp; IPCA_Alta_lag1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TARGET_IPCA_Alta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9.2%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84.2%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4.91e-05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Desemprego_Alto_lag1 &amp; Dolar_Alto_lag1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sz w:val="16"/>
              </w:rPr>
              <w:t>TARGET_IPCA_Alta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9.8%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81.0%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2.00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16"/>
              </w:rPr>
              <w:t>7.13e-05</w:t>
            </w:r>
          </w:p>
        </w:tc>
      </w:tr>
    </w:tbl>
    <w:p/>
    <w:p>
      <w:pPr>
        <w:spacing w:line="276" w:lineRule="auto" w:after="80"/>
        <w:jc w:val="both"/>
      </w:pPr>
      <w:r>
        <w:rPr>
          <w:sz w:val="20"/>
        </w:rPr>
        <w:t xml:space="preserve">A regra causal líder (`Desemprego_Alto_lag1 &amp; Dolar_Alto_lag1 &amp; IPCA_Alta_lag1 -&gt; TARGET_IPCA_Alta`) atinge **93,8% de confiança condicional** ($Lift = 2,32$; $p = 5,10 </w:t>
        <w:tab/>
        <w:t>imes 10^{-6}$). Em tempo real, essa regra funciona como um **indicador antecedente de estagflação**: a conjunção de estresse inflacionário prévio, desvalorização cambial e fragilidade do mercado de trabalho perpetua o rompimento da meta no mês seguinte com quase 94% de certeza estatística.</w:t>
      </w:r>
    </w:p>
    <w:p>
      <w:pPr>
        <w:spacing w:line="276" w:lineRule="auto" w:after="80"/>
        <w:jc w:val="both"/>
      </w:pPr>
      <w:r>
        <w:rPr>
          <w:sz w:val="20"/>
        </w:rPr>
        <w:t>Adicionalmente, a regra `Dolar_Alto_lag1 &amp; IGP_M_Alto_lag1 &amp; IPCA_Alta_lag1 -&gt; TARGET_IPCA_Alta` (**88,2% de confiança**, $Lift = 2,18$) formaliza a velocidade de transmissão da cadeia de suprimentos: um choque de câmbio somado à alta do atacado requer exatamente uma defasagem mensal para consolidar a pressão inflacionária nos preços ao consumidor.</w:t>
      </w:r>
    </w:p>
    <w:p>
      <w:r>
        <w:rPr>
          <w:b/>
          <w:color w:val="203764"/>
          <w:sz w:val="22"/>
        </w:rPr>
        <w:t>4.1.3 Confronto Metodológico com as Etapas Anteriores do Projeto</w:t>
      </w:r>
    </w:p>
    <w:p>
      <w:pPr>
        <w:spacing w:line="276" w:lineRule="auto" w:after="80"/>
        <w:jc w:val="both"/>
      </w:pPr>
      <w:r>
        <w:rPr>
          <w:sz w:val="20"/>
        </w:rPr>
        <w:t>- **Confronto com a Regressão Lasso (Atividade 8):** O modelo Lasso no horizonte $h=1$ selecionou as variáveis $IGP\_M_{t-1}$, $USDBRL_{t-1}$ e a inércia autoregressiva $IPCA_{t-1}$ como os preditores de maior peso econométrico. A mineração de regras de associação sem decomposição contábil confirmou que essas exatas variáveis compõem os antecedentes das regras de maior $Lift$, operando de forma não-linear e em limiares conjuntos;</w:t>
      </w:r>
    </w:p>
    <w:p>
      <w:pPr>
        <w:spacing w:line="276" w:lineRule="auto" w:after="80"/>
        <w:jc w:val="both"/>
      </w:pPr>
      <w:r>
        <w:rPr>
          <w:sz w:val="20"/>
        </w:rPr>
        <w:t>- **Confronto com a Classificação por Árvore de Decisão (Atividade 7):** A árvore de decisão utilizou o particionamento guloso univariado baseado na entropia; em contrapartida, o Apriori revelou que o efeito do câmbio sobre a inflação depende criticamente do estado concomitante do mercado de trabalho e do atacado, descobrindo regras de regime que árvores com profundidade restrita não conseguiram mapear;</w:t>
      </w:r>
    </w:p>
    <w:p>
      <w:pPr>
        <w:spacing w:line="276" w:lineRule="auto" w:after="80"/>
        <w:jc w:val="both"/>
      </w:pPr>
      <w:r>
        <w:rPr>
          <w:sz w:val="20"/>
        </w:rPr>
        <w:t>- **Confronto com a Clusterização (Atividade 6):** As regras validaram empiricamente a separação entre o cluster de estresse cambial/estagflação e o cluster de estabilidade monetária, demonstrando que o regime de alta inflação no Brasil possui uma assinatura combinatória exógena bem delimitada.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