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2060"/>
          <w:sz w:val="24"/>
        </w:rPr>
        <w:t>UNIVERSIDADE DE PERNAMBUCO – UPE</w:t>
        <w:br/>
        <w:t>ESCOLA POLITÉCNICA DE PERNAMBUCO – POLI</w:t>
        <w:br/>
      </w:r>
      <w:r>
        <w:rPr>
          <w:b/>
          <w:sz w:val="22"/>
        </w:rPr>
        <w:t>MINERAÇÃO DE DADOS – ATIVIDADE 7: MÉTODOS DE CLASSIFICAÇÃO</w:t>
        <w:br/>
        <w:t>Prof. Dr. Alexandre Maciel</w:t>
        <w:br/>
      </w:r>
    </w:p>
    <w:p>
      <w:pPr>
        <w:jc w:val="center"/>
      </w:pPr>
      <w:r>
        <w:rPr>
          <w:b/>
          <w:color w:val="002060"/>
          <w:sz w:val="26"/>
        </w:rPr>
        <w:t>ENTREGÁVEL ESPECÍFICO: SEÇÕES 2.2, 3.5 E 4.1 DO ARTIGO</w:t>
      </w:r>
    </w:p>
    <w:p>
      <w:r>
        <w:t>Este documento reúne as seções teóricas, metodológicas e experimentais da Atividade 7 sobre aplicação de modelos supervisionados de classificação aos regimes de inflação do IPCA (2012–2026).</w:t>
        <w:br/>
      </w:r>
    </w:p>
    <w:p>
      <w:pPr>
        <w:jc w:val="both"/>
      </w:pPr>
      <w:r>
        <w:rPr>
          <w:sz w:val="21"/>
        </w:rPr>
        <w:t># Universidade de Pernambuco (UPE) - Escola Politécnica (POLI)</w:t>
      </w:r>
    </w:p>
    <w:p>
      <w:pPr>
        <w:jc w:val="both"/>
      </w:pPr>
      <w:r>
        <w:rPr>
          <w:sz w:val="21"/>
        </w:rPr>
        <w:t>## Mineração de Dados - Atividade 7: Métodos de Classificação Supervisionada</w:t>
      </w:r>
    </w:p>
    <w:p>
      <w:pPr>
        <w:jc w:val="both"/>
      </w:pPr>
      <w:r>
        <w:rPr>
          <w:sz w:val="21"/>
        </w:rPr>
        <w:t xml:space="preserve">Professor: Dr. Alexandre Maciel (`alexandre.maciel@upe.br`)  </w:t>
      </w:r>
    </w:p>
    <w:p>
      <w:pPr>
        <w:jc w:val="both"/>
      </w:pPr>
      <w:r>
        <w:rPr>
          <w:sz w:val="21"/>
        </w:rPr>
        <w:t xml:space="preserve">Aluno / Projeto: Mineração de Séries Temporais para Previsão da Inflação (IPCA)  </w:t>
      </w:r>
    </w:p>
    <w:p>
      <w:pPr>
        <w:jc w:val="both"/>
      </w:pPr>
      <w:r>
        <w:rPr>
          <w:sz w:val="21"/>
        </w:rPr>
        <w:t>Entregável Oficial: Seções 2.2, 3.5 e 4.1 do Artigo Acadêmico</w:t>
      </w:r>
    </w:p>
    <w:p>
      <w:r>
        <w:rPr>
          <w:b/>
          <w:color w:val="002060"/>
          <w:sz w:val="26"/>
        </w:rPr>
        <w:t>2.2 Fundamentação Teórica dos Métodos de Classificação Supervisionada</w:t>
      </w:r>
    </w:p>
    <w:p>
      <w:pPr>
        <w:jc w:val="both"/>
      </w:pPr>
      <w:r>
        <w:rPr>
          <w:sz w:val="21"/>
        </w:rPr>
        <w:t>A tarefa de classificação supervisionada (supervised classification) consiste em aprender indutivamente uma função alvo f: \mathcal{X} \rightarrow \mathcal{Y} que mapeie um vetor de atributos multidimensionais x = (x_1, x_2, \dots, x_m) \in \mathcal{X} em um dos rótulos discretos pré-determinados de classe y \in \mathcal{Y} = \{C_1, C_2, \dots, C_c\} [7, 9]. No escopo de séries macroeconômicas e previsão conjuntural, a classificação supervisionada permite superar as limitações de ruído estocástico das estimativas contínuas pontuais, modelando as decisões não lineares da autoridade monetária e a mudança entre regimes estruturais de inflação [1, 6, 14].</w:t>
      </w:r>
    </w:p>
    <w:p>
      <w:pPr>
        <w:jc w:val="both"/>
      </w:pPr>
      <w:r>
        <w:rPr>
          <w:sz w:val="21"/>
        </w:rPr>
        <w:t>Conforme os fundamentos da mineração de dados [7, 8], a construção dos modelos envolve duas etapas centrais: a indução (ajuste paramétrico e aprendizado das hipóteses sobre o conjunto de treinamento) e a dedução (inferência e rotulagem sobre instâncias não vistas do conjunto de teste out-of-sample). No presente projeto, avaliam-se quatro famílias algorítmicas canônicas:</w:t>
      </w:r>
    </w:p>
    <w:p>
      <w:r>
        <w:rPr>
          <w:b/>
          <w:color w:val="002060"/>
          <w:sz w:val="23"/>
        </w:rPr>
        <w:t>2.2.1 Árvores de Decisão baseadas na Teoria da Informação (ID3 / C4.5 / CART)</w:t>
      </w:r>
    </w:p>
    <w:p>
      <w:pPr>
        <w:jc w:val="both"/>
      </w:pPr>
      <w:r>
        <w:rPr>
          <w:sz w:val="21"/>
        </w:rPr>
        <w:t>As Árvores de Decisão particionam recursivamente o espaço de atributos mediante uma estrutura hierárquica constituída por um nó raiz (root), nós internos de decisão e nós terminais (folhas) que contêm as probabilidades e os rótulos de classe [7, 8]. A seleção do atributo ótimo de particionamento a cada nó baseia-se na Entropia de Shannon H(T), métrica que quantifica a impureza ou incerteza estocástica de um conjunto T de registros distribuídos em k classes [7]:</w:t>
      </w:r>
    </w:p>
    <w:p>
      <w:pPr>
        <w:jc w:val="both"/>
      </w:pPr>
      <w:r>
        <w:rPr>
          <w:sz w:val="21"/>
        </w:rPr>
        <w:t>H(T) = - \sum_{j=1}^k \frac{\text{freq}(c_j, T)}{|T|} \log_2 \left( \frac{\text{freq}(c_j, T)}{|T|} \right)</w:t>
      </w:r>
    </w:p>
    <w:p>
      <w:pPr>
        <w:jc w:val="both"/>
      </w:pPr>
      <w:r>
        <w:rPr>
          <w:sz w:val="21"/>
        </w:rPr>
        <w:t>onde |T| denota o número total de instâncias e \text{freq}(c_j, T) corresponde à frequência absoluta da classe c_j em T.</w:t>
      </w:r>
    </w:p>
    <w:p>
      <w:pPr>
        <w:jc w:val="both"/>
      </w:pPr>
      <w:r>
        <w:rPr>
          <w:sz w:val="21"/>
        </w:rPr>
        <w:t>Ao testar a partição de T induzida por um atributo A_i particionado em n subconjuntos \{T_1, T_2, \dots, T_n\}, a entropia esperada ponderada (Info_{A_i}(T)) e o respectivo Ganho de Informação (Ganho(A_i, T)) são formalmente definidos como [7]:</w:t>
      </w:r>
    </w:p>
    <w:p>
      <w:pPr>
        <w:jc w:val="both"/>
      </w:pPr>
      <w:r>
        <w:rPr>
          <w:sz w:val="21"/>
        </w:rPr>
        <w:t>Info_{A_i}(T) = \sum_{j=1}^n \frac{|T_j|}{|T|} H(T_j)</w:t>
      </w:r>
    </w:p>
    <w:p>
      <w:pPr>
        <w:jc w:val="both"/>
      </w:pPr>
      <w:r>
        <w:rPr>
          <w:sz w:val="21"/>
        </w:rPr>
        <w:t>Ganho(A_i, T) = H(T) - Info_{A_i}(T)</w:t>
      </w:r>
    </w:p>
    <w:p>
      <w:pPr>
        <w:jc w:val="both"/>
      </w:pPr>
      <w:r>
        <w:rPr>
          <w:sz w:val="21"/>
        </w:rPr>
        <w:t>O algoritmo seleciona no nó corrente o atributo A^ que maximiza o Ganho de Informação (A^ = \arg\max_{A_i} Ganho(A_i, T)). Esse particionamento gera hiper-retângulos ortogonais aos eixos de atributos, proporcionando altíssima interpretabilidade institucional e econômica (white-box model) [1, 7].</w:t>
      </w:r>
    </w:p>
    <w:p>
      <w:r>
        <w:rPr>
          <w:b/>
          <w:color w:val="002060"/>
          <w:sz w:val="23"/>
        </w:rPr>
        <w:t>2.2.2 Classificadores Baseados em Regras</w:t>
      </w:r>
    </w:p>
    <w:p>
      <w:pPr>
        <w:jc w:val="both"/>
      </w:pPr>
      <w:r>
        <w:rPr>
          <w:sz w:val="21"/>
        </w:rPr>
        <w:t>Um classificador baseado em regras mapeia o conhecimento extraído em um conjunto disjuntivo de premissas lógicas na forma canônica [7]:</w:t>
      </w:r>
    </w:p>
    <w:p>
      <w:pPr>
        <w:jc w:val="both"/>
      </w:pPr>
      <w:r>
        <w:rPr>
          <w:sz w:val="21"/>
        </w:rPr>
        <w:t>r_i: (\text{condição}) \rightarrow y_i</w:t>
      </w:r>
    </w:p>
    <w:p>
      <w:pPr>
        <w:jc w:val="both"/>
      </w:pPr>
      <w:r>
        <w:rPr>
          <w:sz w:val="21"/>
        </w:rPr>
        <w:t>onde a pré-condição consiste em uma conjunção de testes relacionais sobre pares atributo-valor:</w:t>
      </w:r>
    </w:p>
    <w:p>
      <w:pPr>
        <w:jc w:val="both"/>
      </w:pPr>
      <w:r>
        <w:rPr>
          <w:sz w:val="21"/>
        </w:rPr>
        <w:t>\text{condição}_i = (A_1 \text{ op } v_1) \wedge (A_2 \text{ op } v_2) \wedge \dots \wedge (A_k \text{ op } v_k)</w:t>
      </w:r>
    </w:p>
    <w:p>
      <w:pPr>
        <w:jc w:val="both"/>
      </w:pPr>
      <w:r>
        <w:rPr>
          <w:sz w:val="21"/>
        </w:rPr>
        <w:t>A qualidade estatística e a relevância de negócio de uma regra r_i são avaliadas por duas métricas fundamentais [7]:</w:t>
      </w:r>
    </w:p>
    <w:p>
      <w:pPr>
        <w:jc w:val="both"/>
      </w:pPr>
      <w:r>
        <w:rPr>
          <w:sz w:val="21"/>
        </w:rPr>
        <w:t>1. Cobertura (Coverage): Proporção de registros do universo amostral |D| que satisfazem a pré-condição da regra:</w:t>
      </w:r>
    </w:p>
    <w:p>
      <w:pPr>
        <w:jc w:val="both"/>
      </w:pPr>
      <w:r>
        <w:rPr>
          <w:sz w:val="21"/>
        </w:rPr>
        <w:t xml:space="preserve">   \text{Cobertura}(r) = \frac{|A|}{|D|}</w:t>
      </w:r>
    </w:p>
    <w:p>
      <w:pPr>
        <w:jc w:val="both"/>
      </w:pPr>
      <w:r>
        <w:rPr>
          <w:sz w:val="21"/>
        </w:rPr>
        <w:t>2. Precisão (Accuracy / Precision): Proporção de registros dentre os cobertos que efetivamente pertencem à classe predita y:</w:t>
      </w:r>
    </w:p>
    <w:p>
      <w:pPr>
        <w:jc w:val="both"/>
      </w:pPr>
      <w:r>
        <w:rPr>
          <w:sz w:val="21"/>
        </w:rPr>
        <w:t xml:space="preserve">   \text{Precisão}(r) = \frac{|A \cap y|}{|A|}</w:t>
      </w:r>
    </w:p>
    <w:p>
      <w:pPr>
        <w:jc w:val="both"/>
      </w:pPr>
      <w:r>
        <w:rPr>
          <w:sz w:val="21"/>
        </w:rPr>
        <w:t>onde |A| representa o número de registros que satisfazem a pré-condição e |A \cap y| denota os registros que satisfazem simultaneamente a pré-condição e a classe alvo.</w:t>
      </w:r>
    </w:p>
    <w:p>
      <w:r>
        <w:rPr>
          <w:b/>
          <w:color w:val="002060"/>
          <w:sz w:val="23"/>
        </w:rPr>
        <w:t>2.2.3 Classificador $k$-Nearest Neighbors ($k$-NN)</w:t>
      </w:r>
    </w:p>
    <w:p>
      <w:pPr>
        <w:jc w:val="both"/>
      </w:pPr>
      <w:r>
        <w:rPr>
          <w:sz w:val="21"/>
        </w:rPr>
        <w:t>O k-NN é um algoritmo de aprendizado preguiçoso (lazy learner) e não paramétrico baseado em distância geométrica no espaço vetorial [7, 8]. Dada uma nova instância x_0, o algoritmo localiza os k objetos mais próximos no espaço de treinamento \{x_1, \dots, x_k\} sob uma métrica métrica padronizada. As métricas clássicas empregadas são a Distância Euclidiana e a Distância de Manhattan [7]:</w:t>
      </w:r>
    </w:p>
    <w:p>
      <w:pPr>
        <w:jc w:val="both"/>
      </w:pPr>
      <w:r>
        <w:rPr>
          <w:sz w:val="21"/>
        </w:rPr>
        <w:t>d_{\text{Euclidiana}}(x, x') = \sqrt{\sum_{j=1}^m (x_j - x'_j)^2}, \qquad d_{\text{Manhattan}}(x, x') = \sum_{j=1}^m |x_j - x'_j|</w:t>
      </w:r>
    </w:p>
    <w:p>
      <w:pPr>
        <w:jc w:val="both"/>
      </w:pPr>
      <w:r>
        <w:rPr>
          <w:sz w:val="21"/>
        </w:rPr>
        <w:t>A inferência de classe opera por votação majoritária entre os k vizinhos:</w:t>
      </w:r>
    </w:p>
    <w:p>
      <w:pPr>
        <w:jc w:val="both"/>
      </w:pPr>
      <w:r>
        <w:rPr>
          <w:sz w:val="21"/>
        </w:rPr>
        <w:t>y(x_0) = \arg\max_{c \in \mathcal{Y}} \sum_{i=1}^k I(y(x_i) = c)</w:t>
      </w:r>
    </w:p>
    <w:p>
      <w:pPr>
        <w:jc w:val="both"/>
      </w:pPr>
      <w:r>
        <w:rPr>
          <w:sz w:val="21"/>
        </w:rPr>
        <w:t>Para evitar empates na votação em problemas multiclasse, o parâmetro k deve ser selecionado como um valor ímpar e calibrado para mitigar tanto a sensibilidade a ruído (quando k é excessivamente pequeno) quanto a invasão de fronteira por classes majoritárias (quando k é excessivamente grande) [7].</w:t>
      </w:r>
    </w:p>
    <w:p>
      <w:r>
        <w:rPr>
          <w:b/>
          <w:color w:val="002060"/>
          <w:sz w:val="23"/>
        </w:rPr>
        <w:t>2.2.4 Classificador Probabilístico Naïve Bayes</w:t>
      </w:r>
    </w:p>
    <w:p>
      <w:pPr>
        <w:jc w:val="both"/>
      </w:pPr>
      <w:r>
        <w:rPr>
          <w:sz w:val="21"/>
        </w:rPr>
        <w:t>O classificador Naïve Bayes fundamenta-se na formulação clássica do Teorema de Bayes para calcular a probabilidade a posteriori P(C_i | x) da ocorrência de uma classe C_i dado o vetor de observações x = (x_1, \dots, x_m) [7, 8]:</w:t>
      </w:r>
    </w:p>
    <w:p>
      <w:pPr>
        <w:jc w:val="both"/>
      </w:pPr>
      <w:r>
        <w:rPr>
          <w:sz w:val="21"/>
        </w:rPr>
        <w:t>P(C_i | x) = \frac{P(x | C_i) P(C_i)}{P(x)}</w:t>
      </w:r>
    </w:p>
    <w:p>
      <w:pPr>
        <w:jc w:val="both"/>
      </w:pPr>
      <w:r>
        <w:rPr>
          <w:sz w:val="21"/>
        </w:rPr>
        <w:t>O modelo assume a hipótese "ingênua" (naïve) de que todos os atributos são condicionalmente independentes entre si dada a classe:</w:t>
      </w:r>
    </w:p>
    <w:p>
      <w:pPr>
        <w:jc w:val="both"/>
      </w:pPr>
      <w:r>
        <w:rPr>
          <w:sz w:val="21"/>
        </w:rPr>
        <w:t>P(x | C_i) = \prod_{j=1}^m P(x_j | C_i)</w:t>
      </w:r>
    </w:p>
    <w:p>
      <w:pPr>
        <w:jc w:val="both"/>
      </w:pPr>
      <w:r>
        <w:rPr>
          <w:sz w:val="21"/>
        </w:rPr>
        <w:t>A decisão ótima é governada pelo princípio do Máximo a Posteriori (Maximum A Posteriori – MAP) [7]:</w:t>
      </w:r>
    </w:p>
    <w:p>
      <w:pPr>
        <w:jc w:val="both"/>
      </w:pPr>
      <w:r>
        <w:rPr>
          <w:sz w:val="21"/>
        </w:rPr>
        <w:t>y^* = \arg\max_{C_i \in \mathcal{Y}} P(C_i) \prod_{j=1}^m P(x_j | C_i)</w:t>
      </w:r>
    </w:p>
    <w:p>
      <w:pPr>
        <w:jc w:val="both"/>
      </w:pPr>
      <w:r>
        <w:rPr>
          <w:sz w:val="21"/>
        </w:rPr>
        <w:t>Para atributos contínuos, a verossimilhança P(x_j | C_i) é modelada por uma distribuição normal gaussiana \mathcal{N}(\mu_{ij}, \sigma_{ij}^2) estimada a partir das médias e variâncias amostrais de cada classe.</w:t>
      </w:r>
    </w:p>
    <w:p>
      <w:r>
        <w:rPr>
          <w:b/>
          <w:color w:val="002060"/>
          <w:sz w:val="23"/>
        </w:rPr>
        <w:t>2.2.5 Protocolo de Avaliação de Desempenho Supervisionado</w:t>
      </w:r>
    </w:p>
    <w:p>
      <w:pPr>
        <w:jc w:val="both"/>
      </w:pPr>
      <w:r>
        <w:rPr>
          <w:sz w:val="21"/>
        </w:rPr>
        <w:t>A validação de classificadores multiclasse exige a estruturação da Matriz de Confusão, que relaciona as classes reais (y) com as classes inferidas (\hat{y}) [7]. A partir das contagens de Verdadeiros Positivos (VP), Falsos Positivos (FP), Verdadeiros Negativos (VN) e Falsos Negativos (FN) computados para cada classe i, extraem-se quatro métricas canônicas:</w:t>
      </w:r>
    </w:p>
    <w:p>
      <w:pPr>
        <w:jc w:val="both"/>
      </w:pPr>
      <w:r>
        <w:rPr>
          <w:sz w:val="21"/>
        </w:rPr>
        <w:t>- Acurácia Global: \text{Accuracy} = \frac{\sum_{i} VP_i}{N}</w:t>
      </w:r>
    </w:p>
    <w:p>
      <w:pPr>
        <w:jc w:val="both"/>
      </w:pPr>
      <w:r>
        <w:rPr>
          <w:sz w:val="21"/>
        </w:rPr>
        <w:t>- Precisão por Classe: \text{Precision}_i = \frac{VP_i}{VP_i + FP_i}</w:t>
      </w:r>
    </w:p>
    <w:p>
      <w:pPr>
        <w:jc w:val="both"/>
      </w:pPr>
      <w:r>
        <w:rPr>
          <w:sz w:val="21"/>
        </w:rPr>
        <w:t>- Recall (Sensibilidade) por Classe: \text{Recall}_i = \frac{VP_i}{VP_i + FN_i}</w:t>
      </w:r>
    </w:p>
    <w:p>
      <w:pPr>
        <w:jc w:val="both"/>
      </w:pPr>
      <w:r>
        <w:rPr>
          <w:sz w:val="21"/>
        </w:rPr>
        <w:t>- F1-Score (Média Harmônica): F1_i = 2 \cdot \frac{\text{Precision}_i \cdot \text{Recall}_i}{\text{Precision}_i + \text{Recall}_i}</w:t>
      </w:r>
    </w:p>
    <w:p>
      <w:pPr>
        <w:jc w:val="both"/>
      </w:pPr>
      <w:r>
        <w:rPr>
          <w:sz w:val="21"/>
        </w:rPr>
        <w:t>- F1-Score Macro: Média aritmética não ponderada dos F1_i entre as c classes (F1_{\text{Macro}} = \frac{1}{c} \sum_{i=1}^c F1_i), métrica obrigatória para penalizar distorções amostrais causadas por classes desbalanceadas.</w:t>
      </w:r>
    </w:p>
    <w:p>
      <w:r>
        <w:rPr>
          <w:b/>
          <w:color w:val="002060"/>
          <w:sz w:val="26"/>
        </w:rPr>
        <w:t>3.5 Metodologia Experimental do Projeto: Classificação Causal de Regimes de Inflação</w:t>
      </w:r>
    </w:p>
    <w:p>
      <w:pPr>
        <w:jc w:val="both"/>
      </w:pPr>
      <w:r>
        <w:rPr>
          <w:sz w:val="21"/>
        </w:rPr>
        <w:t>A modelagem de classificação supervisionada em séries macroeconômicas difere de problemas tabulares transversais convencionais pela necessidade de rigor temporal estrito. A inclusão simultânea de atributos do mesmo período temporal geraria contaminação informacional (lookahead bias ou vazamento de dados), inviabilizando qualquer aplicação prática para a política monetária ou para o planejamento financeiro empresarial [6, 14].</w:t>
      </w:r>
    </w:p>
    <w:p>
      <w:r>
        <w:rPr>
          <w:b/>
          <w:color w:val="002060"/>
          <w:sz w:val="23"/>
        </w:rPr>
        <w:t>3.5.1 Formulação Preditiva Macroeconômica Causal</w:t>
      </w:r>
    </w:p>
    <w:p>
      <w:pPr>
        <w:jc w:val="both"/>
      </w:pPr>
      <w:r>
        <w:rPr>
          <w:sz w:val="21"/>
        </w:rPr>
        <w:t>Para assegurar estrita causalidade temporal, a modelagem foi formulada como a previsão do regime de inflação do mês t a partir exclusivamente do conjunto informacional disponível até o encerramento do mês t-1:</w:t>
      </w:r>
    </w:p>
    <w:p>
      <w:pPr>
        <w:jc w:val="both"/>
      </w:pPr>
      <w:r>
        <w:rPr>
          <w:sz w:val="21"/>
        </w:rPr>
        <w:t>Y_t = f(X_{t-1})</w:t>
      </w:r>
    </w:p>
    <w:p>
      <w:pPr>
        <w:jc w:val="both"/>
      </w:pPr>
      <w:r>
        <w:rPr>
          <w:sz w:val="21"/>
        </w:rPr>
        <w:t>onde Y_t \in \{\text{Deflação}, \text{Controlado}, \text{Alta}\} denota o regime de inflação contemporâneo e X_{t-1} \in \mathbb{R}^m é o vetor de covariáveis defasadas em um período mensal.</w:t>
      </w:r>
    </w:p>
    <w:p>
      <w:pPr>
        <w:jc w:val="both"/>
      </w:pPr>
      <w:r>
        <w:rPr>
          <w:sz w:val="21"/>
        </w:rPr>
        <w:t>O conjunto de atributos explicativos defasados contempla 11 dimensões macroeconômicas críticas:</w:t>
      </w:r>
    </w:p>
    <w:p>
      <w:pPr>
        <w:jc w:val="both"/>
      </w:pPr>
      <w:r>
        <w:rPr>
          <w:sz w:val="21"/>
        </w:rPr>
        <w:t>1. Inércia Inflacionária Geral e Setorial: \text{IPCA}_{t-1}, \text{IPCA Alimentação\_bebidas}_{t-1}, \text{IPCA\_Transportes}_{t-1}, \text{INPC\_Habitação}_{t-1} e \text{IPCA\_Educação}_{t-1};</w:t>
      </w:r>
    </w:p>
    <w:p>
      <w:pPr>
        <w:jc w:val="both"/>
      </w:pPr>
      <w:r>
        <w:rPr>
          <w:sz w:val="21"/>
        </w:rPr>
        <w:t>2. Custos no Atacado e Repasse Cambial (Pass-Through): \text{IGP\_M}_{t-1} e Taxa de Câmbio \text{USDBRL}_{t-1};</w:t>
      </w:r>
    </w:p>
    <w:p>
      <w:pPr>
        <w:jc w:val="both"/>
      </w:pPr>
      <w:r>
        <w:rPr>
          <w:sz w:val="21"/>
        </w:rPr>
        <w:t>3. Hiato do Produto e Atividade Agregada (Curva de Phillips): Taxa de \text{Desemprego}_{t-1} e \text{Consumo\_Energia\_Total}_{t-1};</w:t>
      </w:r>
    </w:p>
    <w:p>
      <w:pPr>
        <w:jc w:val="both"/>
      </w:pPr>
      <w:r>
        <w:rPr>
          <w:sz w:val="21"/>
        </w:rPr>
        <w:t>4. Postura da Política Monetária: Taxa básica \text{SELIC}_{t-1};</w:t>
      </w:r>
    </w:p>
    <w:p>
      <w:pPr>
        <w:jc w:val="both"/>
      </w:pPr>
      <w:r>
        <w:rPr>
          <w:sz w:val="21"/>
        </w:rPr>
        <w:t>5. Componentes Harmônicas de Sazonalidade Calendárica: Harmônicas trigonométricas \sin(2\pi m / 12) e \cos(2\pi m / 12), capturando os ciclos biológicos da safra e reajustes institucionais.</w:t>
      </w:r>
    </w:p>
    <w:p>
      <w:r>
        <w:rPr>
          <w:b/>
          <w:color w:val="002060"/>
          <w:sz w:val="23"/>
        </w:rPr>
        <w:t>3.5.2 Critérios de Discretização e Rotulagem dos Regimes de Inflação</w:t>
      </w:r>
    </w:p>
    <w:p>
      <w:pPr>
        <w:jc w:val="both"/>
      </w:pPr>
      <w:r>
        <w:rPr>
          <w:sz w:val="21"/>
        </w:rPr>
        <w:t>A variável alvo Y_t foi categorizada em três regimes discretos fundamentados na estrutura institucional do Regime de Metas do Banco Central do Brasil (CMN) [10]:</w:t>
      </w:r>
    </w:p>
    <w:p>
      <w:pPr>
        <w:jc w:val="both"/>
      </w:pPr>
      <w:r>
        <w:rPr>
          <w:sz w:val="21"/>
        </w:rPr>
        <w:t>- Classe 1 – Deflação (Y_t = \text{Deflação}): \text{IPCA}_t \le 0,00\%. Reflete choques pontuais de oferta agrícola no meio do ano ou desonerações tributárias exógenas (N = 27 meses na amostra global, 15,52%);</w:t>
      </w:r>
    </w:p>
    <w:p>
      <w:pPr>
        <w:jc w:val="both"/>
      </w:pPr>
      <w:r>
        <w:rPr>
          <w:sz w:val="21"/>
        </w:rPr>
        <w:t>- Classe 2 – Inflação Controlada / Regime de Meta (Y_t = \text{Controlado}): 0,00\% &lt; \text{IPCA}_t \le 0,50\%. Representa a faixa de normalidade compatível com o centro da meta anualizada de 3,0% a 4,5% a.a. fixada pelo CMN (N = 77 meses, 44,25%);</w:t>
      </w:r>
    </w:p>
    <w:p>
      <w:pPr>
        <w:jc w:val="both"/>
      </w:pPr>
      <w:r>
        <w:rPr>
          <w:sz w:val="21"/>
        </w:rPr>
        <w:t>- Classe 3 – Alta Inflação / Estresse (Y_t = \text{Alta}): \text{IPCA}_t &gt; 0,50\%. Taxa mensal que, anualizada, excede 6,17\% a.a., rompendo o teto de tolerância da meta e exigindo reação hawkish do BACEN (N = 70 meses, 40,23%).</w:t>
      </w:r>
    </w:p>
    <w:p>
      <w:r>
        <w:rPr>
          <w:b/>
          <w:color w:val="002060"/>
          <w:sz w:val="23"/>
        </w:rPr>
        <w:t>3.5.3 Protocolo de Divisão Temporal Out-of-Sample (Walk-Forward)</w:t>
      </w:r>
    </w:p>
    <w:p>
      <w:pPr>
        <w:jc w:val="both"/>
      </w:pPr>
      <w:r>
        <w:rPr>
          <w:sz w:val="21"/>
        </w:rPr>
        <w:t>Para refletir fielmente o desafio de predição em tempo real, rejeitou-se a validação cruzada aleatória com embaralhamento (k-fold shuffle), adotando-se uma partição cronológica out-of-sample:</w:t>
      </w:r>
    </w:p>
    <w:p>
      <w:pPr>
        <w:jc w:val="both"/>
      </w:pPr>
      <w:r>
        <w:rPr>
          <w:sz w:val="21"/>
        </w:rPr>
        <w:t>- Conjunto de Treinamento (Indução do Conhecimento): Abril de 2012 a Dezembro de 2021 (N_{\text{treino}} = 117 meses contínuos, \approx 70\% da amostra temporal). Cobre o ciclo de recessão de 2015/2016 e a eclosão da pandemia de COVID-19 em 2020;</w:t>
      </w:r>
    </w:p>
    <w:p>
      <w:pPr>
        <w:jc w:val="both"/>
      </w:pPr>
      <w:r>
        <w:rPr>
          <w:sz w:val="21"/>
        </w:rPr>
        <w:t>- Conjunto de Teste (Avaliação Out-of-Sample / Dedução): Janeiro de 2022 a Agosto de 2026 (N_{\text{teste}} = 56 meses contínuos, \approx 30\% da amostra). Constitui um teste de estresse rigoroso que contempla o choque global de commodities decorrente da guerra na Ucrânia, o ciclo eleitoral de desoneração do ICMS (LC 194/2022) e a política de juros pós-pandemia.</w:t>
      </w:r>
    </w:p>
    <w:p>
      <w:r>
        <w:rPr>
          <w:b/>
          <w:color w:val="002060"/>
          <w:sz w:val="23"/>
        </w:rPr>
        <w:t>3.5.4 Pré-Processamento e Parametrização dos Classificadores</w:t>
      </w:r>
    </w:p>
    <w:p>
      <w:pPr>
        <w:jc w:val="both"/>
      </w:pPr>
      <w:r>
        <w:rPr>
          <w:sz w:val="21"/>
        </w:rPr>
        <w:t>1. Saneamento Causal de Dados: Séries com defasagem de divulgação física (emprego formal e dados de energia) foram imputadas via preenchimento prospectivo estrito (forward fill - `ffill`), sem qualquer vazamento de dados futuros;</w:t>
      </w:r>
    </w:p>
    <w:p>
      <w:pPr>
        <w:jc w:val="both"/>
      </w:pPr>
      <w:r>
        <w:rPr>
          <w:sz w:val="21"/>
        </w:rPr>
        <w:t>2. Padronização Z-Score: Para os métodos baseados em distância (k-NN) e densidade (Naïve Bayes), a matriz de atributos foi normalizada via `StandardScaler`, calculando-se médias e desvios padrão estritamente no conjunto de treino e aplicando-os à base de teste;</w:t>
      </w:r>
    </w:p>
    <w:p>
      <w:pPr>
        <w:jc w:val="both"/>
      </w:pPr>
      <w:r>
        <w:rPr>
          <w:sz w:val="21"/>
        </w:rPr>
        <w:t>3. Parametrização dos Modelos:</w:t>
      </w:r>
    </w:p>
    <w:p>
      <w:pPr>
        <w:jc w:val="both"/>
      </w:pPr>
      <w:r>
        <w:rPr>
          <w:sz w:val="21"/>
        </w:rPr>
        <w:t xml:space="preserve">   - Baseline Majoritário (Zero-Rule): Atribui sistematicamente a classe modal do conjunto de treinamento para estabelecer o referencial nulo de desempenho;</w:t>
      </w:r>
    </w:p>
    <w:p>
      <w:pPr>
        <w:jc w:val="both"/>
      </w:pPr>
      <w:r>
        <w:rPr>
          <w:sz w:val="21"/>
        </w:rPr>
        <w:t xml:space="preserve">   - Árvore de Decisão: Critério de Entropia de Shannon, profundidade máxima restrita a max\_depth = 3 e número mínimo de amostras por folha min\_samples\_leaf = 2 para evitar overfitting, associados à ponderação de classes (`class_weight='balanced'`) para neutralizar o desbalanceamento da Deflação;</w:t>
      </w:r>
    </w:p>
    <w:p>
      <w:pPr>
        <w:jc w:val="both"/>
      </w:pPr>
      <w:r>
        <w:rPr>
          <w:sz w:val="21"/>
        </w:rPr>
        <w:t xml:space="preserve">   - k-NN: Avaliado sob distâncias Euclidiana e de Manhattan com hiperparâmetro ímpar k=5 e ponderação pelo inverso da distância (`weights='distance'`);</w:t>
      </w:r>
    </w:p>
    <w:p>
      <w:pPr>
        <w:jc w:val="both"/>
      </w:pPr>
      <w:r>
        <w:rPr>
          <w:sz w:val="21"/>
        </w:rPr>
        <w:t xml:space="preserve">   - Naïve Bayes: Implementação Gaussiana padrão com ajuste analítico de verossimilhanças.</w:t>
      </w:r>
    </w:p>
    <w:p>
      <w:r>
        <w:rPr>
          <w:b/>
          <w:color w:val="002060"/>
          <w:sz w:val="26"/>
        </w:rPr>
        <w:t>4.1 Resultados Obtidos na Classificação de Regimes de Inflação</w:t>
      </w:r>
    </w:p>
    <w:p>
      <w:pPr>
        <w:jc w:val="both"/>
      </w:pPr>
      <w:r>
        <w:rPr>
          <w:sz w:val="21"/>
        </w:rPr>
        <w:t>A aplicação dos métodos de classificação supervisionada sobre o painel macroeconômico brasileiro revelou diferenças expressivas entre as abordagens algorítmicas, demonstrando que a modelagem não linear e baseada em entropia é superior para capturar descontinuidades em séries temporais.</w:t>
      </w:r>
    </w:p>
    <w:p>
      <w:r>
        <w:rPr>
          <w:b/>
          <w:color w:val="002060"/>
          <w:sz w:val="23"/>
        </w:rPr>
        <w:t>4.1.1 Desempenho Comparativo dos Métodos de Classificação</w:t>
      </w:r>
    </w:p>
    <w:p>
      <w:pPr>
        <w:jc w:val="both"/>
      </w:pPr>
      <w:r>
        <w:rPr>
          <w:sz w:val="21"/>
        </w:rPr>
        <w:t>A Tabela 4 sintetiza as métricas formais obtidas por cada algoritmo no conjunto de teste out-of-sample (Janeiro de 2022 a Agosto de 2026, N=56 meses).</w:t>
      </w:r>
    </w:p>
    <w:p>
      <w:r>
        <w:rPr>
          <w:b/>
          <w:color w:val="002060"/>
          <w:sz w:val="23"/>
        </w:rPr>
        <w:t>Tabela 4 – Métricas Comparativas de Classificação Supervisionada de Regimes (Out-of-Sample)</w:t>
      </w:r>
    </w:p>
    <w:p>
      <w:pPr>
        <w:jc w:val="both"/>
      </w:pPr>
      <w:r>
        <w:rPr>
          <w:sz w:val="21"/>
        </w:rPr>
        <w:t>Fonte: Elaboração própria com base no pipeline computacional desenvolvido (2026).</w:t>
      </w:r>
    </w:p>
    <w:p>
      <w:pPr>
        <w:jc w:val="both"/>
      </w:pPr>
      <w:r>
        <w:rPr>
          <w:sz w:val="21"/>
        </w:rPr>
        <w:t>A Árvore de Decisão com Entropia de Shannon e Pesos Balanceados obteve a liderança categórica em todas as métricas de generalização, alcançando 59,09% de acurácia global e F1-Score Macro de 0,5377 — um ganho de mais de 25 pontos percentuais de acurácia frente ao Baseline Majoritário (33,93%) e superando amplamente o Naïve Bayes (35,71%).</w:t>
      </w:r>
    </w:p>
    <w:p>
      <w:r>
        <w:rPr>
          <w:b/>
          <w:color w:val="002060"/>
          <w:sz w:val="23"/>
        </w:rPr>
        <w:t>4.1.2 Análise das Matrizes de Confusão $3 \times 3$</w:t>
      </w:r>
    </w:p>
    <w:p>
      <w:pPr>
        <w:jc w:val="both"/>
      </w:pPr>
      <w:r>
        <w:rPr>
          <w:sz w:val="21"/>
        </w:rPr>
        <w:t>A Figura 10 apresenta as matrizes de confusão comparativas no conjunto de teste out-of-sample, discriminando o padrão de acertos e distorções dos modelos.</w:t>
      </w:r>
    </w:p>
    <w:p>
      <w:pPr>
        <w:jc w:val="center"/>
      </w:pPr>
      <w:r>
        <w:rPr>
          <w:i/>
          <w:color w:val="646464"/>
          <w:sz w:val="19"/>
        </w:rPr>
        <w:t>[Figura inserida e anexada na pasta 4_Graficos_Alta_Resolucao]</w:t>
      </w:r>
    </w:p>
    <w:p>
      <w:pPr>
        <w:jc w:val="both"/>
      </w:pPr>
      <w:r>
        <w:rPr>
          <w:sz w:val="21"/>
        </w:rPr>
        <w:t>Figura 10 – Matrizes de Confusão Comparativas dos Métodos de Classificação (Conjunto de Teste Out-of-Sample)</w:t>
      </w:r>
    </w:p>
    <w:p>
      <w:pPr>
        <w:jc w:val="both"/>
      </w:pPr>
      <w:r>
        <w:rPr>
          <w:sz w:val="21"/>
        </w:rPr>
        <w:t>A inspeção detalhada das matrizes revela comportamentos estruturais cruciais:</w:t>
      </w:r>
    </w:p>
    <w:p>
      <w:pPr>
        <w:jc w:val="both"/>
      </w:pPr>
      <w:r>
        <w:rPr>
          <w:sz w:val="21"/>
        </w:rPr>
        <w:t>1. Árvore de Decisão: Demonstrou equilíbrio entre as classes, obtendo 77,3% de assertividade no regime Controlado (17 acertos em 22 meses) e 54,5% de acertos no regime de Alta Inflação (6 acertos em 11 meses). O modelo não cometeu o erro gravíssimo de classificar meses de deflação como alta inflação (FP = 0 na célula Deflação-Alta);</w:t>
      </w:r>
    </w:p>
    <w:p>
      <w:pPr>
        <w:jc w:val="both"/>
      </w:pPr>
      <w:r>
        <w:rPr>
          <w:sz w:val="21"/>
        </w:rPr>
        <w:t>2. k-NN (k=5): Apresentou elevada sensibilidade na captura do regime de Alta Inflação (15 acertos em 19 ocorrências), porém foi incapaz de discriminar a classe minoritária de Deflação (Recall = 0\%), convergindo suas previsões para as classes de maior densidade no espaço métrico;</w:t>
      </w:r>
    </w:p>
    <w:p>
      <w:pPr>
        <w:jc w:val="both"/>
      </w:pPr>
      <w:r>
        <w:rPr>
          <w:sz w:val="21"/>
        </w:rPr>
        <w:t>3. Naïve Bayes Gaussiano: Concentrou quase 80% das previsões no regime de Alta Inflação, falhando na segmentação de regimes controlados e gerando elevado índice de falsos alarmes (FP = 23 no regime de Alta).</w:t>
      </w:r>
    </w:p>
    <w:p>
      <w:r>
        <w:rPr>
          <w:b/>
          <w:color w:val="002060"/>
          <w:sz w:val="23"/>
        </w:rPr>
        <w:t>4.1.3 Classificador Baseado em Regras e Síntese Decisória</w:t>
      </w:r>
    </w:p>
    <w:p>
      <w:pPr>
        <w:jc w:val="both"/>
      </w:pPr>
      <w:r>
        <w:rPr>
          <w:sz w:val="21"/>
        </w:rPr>
        <w:t>A partir da estrutura induzida pela Árvore de Decisão, extraíram-se as regras lógicas formais com suas respectivas taxas empíricas de Cobertura (|A|/|D|) e Precisão (|A \cap y|/|A|), conforme detalhado na Tabela 5.</w:t>
      </w:r>
    </w:p>
    <w:p>
      <w:r>
        <w:rPr>
          <w:b/>
          <w:color w:val="002060"/>
          <w:sz w:val="23"/>
        </w:rPr>
        <w:t>Tabela 5 – Regras de Classificação Macroeconômica Extraídas da Árvore de Decisão</w:t>
      </w:r>
    </w:p>
    <w:p>
      <w:pPr>
        <w:jc w:val="both"/>
      </w:pPr>
      <w:r>
        <w:rPr>
          <w:sz w:val="21"/>
        </w:rPr>
        <w:t>Fonte: Elaboração própria a partir do algoritmo de indução de regras sobre o conjunto de treino (2026).</w:t>
      </w:r>
    </w:p>
    <w:p>
      <w:r>
        <w:rPr>
          <w:b/>
          <w:color w:val="002060"/>
          <w:sz w:val="23"/>
        </w:rPr>
        <w:t>4.1.4 Importância dos Atributos e Análise Estrutural da Árvore</w:t>
      </w:r>
    </w:p>
    <w:p>
      <w:pPr>
        <w:jc w:val="both"/>
      </w:pPr>
      <w:r>
        <w:rPr>
          <w:sz w:val="21"/>
        </w:rPr>
        <w:t>A Figura 11 exibe o ranking de importância preditiva dos atributos macroeconômicos determinado pela redução total da Entropia de Shannon (Ganho de Informação Normalizado) na Árvore de Decisão.</w:t>
      </w:r>
    </w:p>
    <w:p>
      <w:pPr>
        <w:jc w:val="center"/>
      </w:pPr>
      <w:r>
        <w:rPr>
          <w:i/>
          <w:color w:val="646464"/>
          <w:sz w:val="19"/>
        </w:rPr>
        <w:t>[Figura inserida e anexada na pasta 4_Graficos_Alta_Resolucao]</w:t>
      </w:r>
    </w:p>
    <w:p>
      <w:pPr>
        <w:jc w:val="both"/>
      </w:pPr>
      <w:r>
        <w:rPr>
          <w:sz w:val="21"/>
        </w:rPr>
        <w:t>Figura 11 – Ranking de Importância dos Atributos Macroeconômicos por Redução de Entropia de Shannon</w:t>
      </w:r>
    </w:p>
    <w:p>
      <w:pPr>
        <w:jc w:val="both"/>
      </w:pPr>
      <w:r>
        <w:rPr>
          <w:sz w:val="21"/>
        </w:rPr>
        <w:t>Os resultados evidenciam que três variáveis explicativas respondem por mais de 85% do poder discriminatório dos regimes de inflação no Brasil:</w:t>
      </w:r>
    </w:p>
    <w:p>
      <w:pPr>
        <w:jc w:val="both"/>
      </w:pPr>
      <w:r>
        <w:rPr>
          <w:sz w:val="21"/>
        </w:rPr>
        <w:t>1. Inércia Inflacionária Geral (</w:t>
        <w:tab/>
        <w:t>ext{IPCA}_{t-1} - 36,2% do Ganho de Informação): Constitui o nó raiz da árvore com limiar de particionamento em 0,56\% ao mês. Esse valor coincide notavelmente com o teto mensalizado das metas do CMN ((1+0,0056)^{12}-1 \approx 6,9\% a.a.). Quando a inflação anterior ultrapassa 0,56%, a persistência indexada dos contratos assegura que o sistema permaneça em Alta Inflação;</w:t>
      </w:r>
    </w:p>
    <w:p>
      <w:pPr>
        <w:jc w:val="both"/>
      </w:pPr>
      <w:r>
        <w:rPr>
          <w:sz w:val="21"/>
        </w:rPr>
        <w:t>2. Taxa de Desemprego (35,6% do Ganho de Informação): Atua como divisor estrutural em 11,75\%. Trata-se da comprovação empírica da Curva de Phillips: sob desemprego acima de 11,75%, a compressão da massa salarial deprime o consumo das famílias e direciona a economia para regimes de desinflação/deflação; sob desemprego inferior a 11,75%, a demanda agregada aquecida facilita repasses empresariais de custos;</w:t>
      </w:r>
    </w:p>
    <w:p>
      <w:pPr>
        <w:jc w:val="both"/>
      </w:pPr>
      <w:r>
        <w:rPr>
          <w:sz w:val="21"/>
        </w:rPr>
        <w:t>3. Câmbio e Preços no Atacado (</w:t>
        <w:tab/>
        <w:t xml:space="preserve">ext{USDBRL} e </w:t>
        <w:tab/>
        <w:t>ext{IGP\_M} - 18,1% do Ganho de Informação): Representam os canais de choque de oferta e pass-through cambial. A regra r_6 atesta que, quando o IGP-M mensal ultrapassa 0,68% com inflação anterior elevada, a probabilidade de continuidade do regime de Alta Inflação salta para 90,0%.</w:t>
      </w:r>
    </w:p>
    <w:p>
      <w:r>
        <w:rPr>
          <w:b/>
          <w:color w:val="002060"/>
          <w:sz w:val="23"/>
        </w:rPr>
        <w:t>4.1.5 Diagnóstico Crítico: Limitações do Naïve Bayes e o Desafio da Deflação em 2022</w:t>
      </w:r>
    </w:p>
    <w:p>
      <w:pPr>
        <w:jc w:val="both"/>
      </w:pPr>
      <w:r>
        <w:rPr>
          <w:sz w:val="21"/>
        </w:rPr>
        <w:t>A superioridade da Árvore de Decisão sobre o Naïve Bayes decorre de um fundamento econômico central: a quebra da hipótese de independência condicional. Em macroeconomia, o IPCA, seus núcleos (alimentos e transportes), a taxa de câmbio e os índices de atacado (IGP-M) são intensamente correlacionados por responderem a choques comuns de política monetária e balanço de pagamentos. Ao multiplicar verossimilhanças interdependentes, o Naïve Bayes distorceu as densidades posteriores e colapsou suas previsões na classe majoritária de alta.</w:t>
      </w:r>
    </w:p>
    <w:p>
      <w:pPr>
        <w:jc w:val="both"/>
      </w:pPr>
      <w:r>
        <w:rPr>
          <w:sz w:val="21"/>
        </w:rPr>
        <w:t>Por sua vez, a dificuldade generalizada de todos os classificadores em antecipar as deflações de julho a setembro de 2022 (IPCA de -0,68%, -0,36% e -0,29%) decorre de sua gênese institucional: a aprovação da Lei Complementar 194/2022, que fixou um teto compulsório de ICMS sobre combustíveis e eletricidade às vésperas das eleições federais. Trata-se de um choque político-tributário exógeno e abrupto, impossível de ser previsto por modelos puramente baseados em defasagens estatísticas macroeconômicas contínuas.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