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Arial" w:hAnsi="Arial"/>
          <w:b/>
          <w:sz w:val="24"/>
        </w:rPr>
        <w:t>FACULDADE POLI-UPE</w:t>
        <w:br/>
        <w:t>DISCIPLINA: MINERAÇÃO DE DADOS</w:t>
      </w:r>
    </w:p>
    <w:p>
      <w:pPr>
        <w:spacing w:before="0" w:after="80" w:line="276" w:lineRule="auto"/>
        <w:jc w:val="center"/>
      </w:pPr>
      <w:r>
        <w:rPr>
          <w:rFonts w:ascii="Arial" w:hAnsi="Arial"/>
          <w:b/>
          <w:sz w:val="30"/>
        </w:rPr>
        <w:t>PROJETO DE MINERAÇÃO DE DADOS:</w:t>
        <w:br/>
        <w:t>PREVISÃO DO IPCA BRASILEIRO</w:t>
      </w:r>
    </w:p>
    <w:p>
      <w:pPr>
        <w:spacing w:before="0" w:after="280" w:line="276" w:lineRule="auto"/>
        <w:jc w:val="center"/>
      </w:pPr>
      <w:r>
        <w:rPr>
          <w:rFonts w:ascii="Arial" w:hAnsi="Arial"/>
          <w:i/>
          <w:sz w:val="23"/>
        </w:rPr>
        <w:t>Comparação entre Abordagens Univariadas e Multivariadas com Seleção de Atributos e Modelos Híbridos</w:t>
      </w:r>
    </w:p>
    <w:p>
      <w:pPr>
        <w:spacing w:before="0" w:after="360" w:line="276" w:lineRule="auto"/>
        <w:jc w:val="center"/>
      </w:pPr>
      <w:r>
        <w:rPr>
          <w:rFonts w:ascii="Arial" w:hAnsi="Arial"/>
          <w:b/>
          <w:sz w:val="22"/>
        </w:rPr>
        <w:t>INTEGRANTES: Bruno César, Daniel Guilherme, Marcus, Vinicyus Manoel</w:t>
      </w:r>
    </w:p>
    <w:p>
      <w:pPr>
        <w:spacing w:before="320" w:after="120" w:line="276" w:lineRule="auto"/>
        <w:jc w:val="left"/>
      </w:pPr>
      <w:r>
        <w:rPr>
          <w:rFonts w:ascii="Arial" w:hAnsi="Arial"/>
          <w:b/>
          <w:sz w:val="26"/>
        </w:rPr>
        <w:t>1. Introdução do Projeto</w:t>
      </w:r>
    </w:p>
    <w:p>
      <w:pPr>
        <w:spacing w:before="0" w:after="120" w:line="276" w:lineRule="auto"/>
        <w:jc w:val="both"/>
      </w:pPr>
      <w:r>
        <w:rPr>
          <w:rFonts w:ascii="Arial" w:hAnsi="Arial"/>
          <w:sz w:val="23"/>
        </w:rPr>
        <w:t>A inflação é um dos indicadores mais acompanhados na economia, pois afeta o poder de compra das pessoas, o custo de vida, as taxas de juros e o planejamento das empresas. No Brasil, o índice oficial de inflação é o IPCA (Índice Nacional de Preços ao Consumidor Amplo), calculado mensalmente pelo IBGE para medir a variação de preços de uma cesta de produtos e serviços consumidos pelas famílias.</w:t>
      </w:r>
    </w:p>
    <w:p>
      <w:pPr>
        <w:spacing w:before="0" w:after="120" w:line="276" w:lineRule="auto"/>
        <w:jc w:val="both"/>
      </w:pPr>
      <w:r>
        <w:rPr>
          <w:rFonts w:ascii="Arial" w:hAnsi="Arial"/>
          <w:sz w:val="23"/>
        </w:rPr>
        <w:t>Prever a inflação com antecedência e precisão é essencial tanto para o governo e o Banco Central — que definem a política monetária e a taxa básica de juros (Selic) — quanto para empresas e investidores, que precisam planejar orçamentos, reajustes de contratos e alocações de capital. No entanto, prever a inflação brasileira é uma tarefa desafiadora: o índice combina comportamentos inerciais e repetitivos com choques inesperados de oferta e demanda, como quebras de safra agrícola, variações no preço do petróleo ou oscilações cambiais.</w:t>
      </w:r>
    </w:p>
    <w:p>
      <w:pPr>
        <w:spacing w:before="0" w:after="120" w:line="276" w:lineRule="auto"/>
        <w:jc w:val="both"/>
      </w:pPr>
      <w:r>
        <w:rPr>
          <w:rFonts w:ascii="Arial" w:hAnsi="Arial"/>
          <w:sz w:val="23"/>
        </w:rPr>
        <w:t>Diante desse cenário, este projeto investiga uma questão central na área de ciência e mineração de dados: modelos preditivos simples, baseados apenas no histórico do próprio IPCA (abordagem univariada), são suficientes para boas previsões, ou vale a pena incluir variáveis econômicas externas (abordagem multivariada), como juros, câmbio, combustíveis e emprego? Ao responder a essa pergunta, avaliamos se o ganho de acurácia realmente compensa a complexidade de coletar, tratar e calibrar dezenas de indicadores externos.</w:t>
      </w:r>
    </w:p>
    <w:p>
      <w:pPr>
        <w:spacing w:before="280" w:after="100" w:line="276" w:lineRule="auto"/>
        <w:jc w:val="left"/>
      </w:pPr>
      <w:r>
        <w:rPr>
          <w:rFonts w:ascii="Arial" w:hAnsi="Arial"/>
          <w:b/>
          <w:sz w:val="24"/>
        </w:rPr>
        <w:t>1.1 Contextualização</w:t>
      </w:r>
    </w:p>
    <w:p>
      <w:pPr>
        <w:spacing w:before="0" w:after="120" w:line="276" w:lineRule="auto"/>
        <w:jc w:val="both"/>
      </w:pPr>
      <w:r>
        <w:rPr>
          <w:rFonts w:ascii="Arial" w:hAnsi="Arial"/>
          <w:sz w:val="23"/>
        </w:rPr>
        <w:t>No regime de metas de inflação adotado no Brasil, o Banco Central utiliza a taxa Selic para manter o IPCA dentro de intervalos preestabelecidos. Como mudanças nos juros demoram alguns meses para ter efeito pleno sobre os preços, projeções confiáveis da inflação são ferramentas indispensáveis para orientar decisões preventivas.</w:t>
      </w:r>
    </w:p>
    <w:p>
      <w:pPr>
        <w:spacing w:before="0" w:after="120" w:line="276" w:lineRule="auto"/>
        <w:jc w:val="both"/>
      </w:pPr>
      <w:r>
        <w:rPr>
          <w:rFonts w:ascii="Arial" w:hAnsi="Arial"/>
          <w:sz w:val="23"/>
        </w:rPr>
        <w:t>A previsão da inflação por meio da mineração de dados é relevante em três frentes principais:</w:t>
      </w:r>
    </w:p>
    <w:p>
      <w:pPr>
        <w:spacing w:before="0" w:after="120" w:line="276" w:lineRule="auto"/>
        <w:jc w:val="both"/>
      </w:pPr>
      <w:r>
        <w:rPr>
          <w:rFonts w:ascii="Arial" w:hAnsi="Arial"/>
          <w:b/>
          <w:sz w:val="23"/>
        </w:rPr>
        <w:t xml:space="preserve">• Gestão Pública: </w:t>
      </w:r>
      <w:r>
        <w:rPr>
          <w:rFonts w:ascii="Arial" w:hAnsi="Arial"/>
          <w:sz w:val="23"/>
        </w:rPr>
        <w:t>No setor público, permite ao Banco Central e aos órgãos reguladores monitorar a trajetória esperada dos preços e ajustar políticas monetárias a tempo.</w:t>
      </w:r>
    </w:p>
    <w:p>
      <w:pPr>
        <w:spacing w:before="0" w:after="120" w:line="276" w:lineRule="auto"/>
        <w:jc w:val="both"/>
      </w:pPr>
      <w:r>
        <w:rPr>
          <w:rFonts w:ascii="Arial" w:hAnsi="Arial"/>
          <w:b/>
          <w:sz w:val="23"/>
        </w:rPr>
        <w:t xml:space="preserve">• Mercado Financeiro e Empresas: </w:t>
      </w:r>
      <w:r>
        <w:rPr>
          <w:rFonts w:ascii="Arial" w:hAnsi="Arial"/>
          <w:sz w:val="23"/>
        </w:rPr>
        <w:t>No setor empresarial e financeiro, ajuda empresas e investidores a estimar custos, planejar estoques, ajustar contratos de longo prazo e gerenciar riscos de mercado.</w:t>
      </w:r>
    </w:p>
    <w:p>
      <w:pPr>
        <w:spacing w:before="0" w:after="120" w:line="276" w:lineRule="auto"/>
        <w:jc w:val="both"/>
      </w:pPr>
      <w:r>
        <w:rPr>
          <w:rFonts w:ascii="Arial" w:hAnsi="Arial"/>
          <w:b/>
          <w:sz w:val="23"/>
        </w:rPr>
        <w:t xml:space="preserve">• Pesquisa e Engenharia de Dados: </w:t>
      </w:r>
      <w:r>
        <w:rPr>
          <w:rFonts w:ascii="Arial" w:hAnsi="Arial"/>
          <w:sz w:val="23"/>
        </w:rPr>
        <w:t>No meio acadêmico e tecnológico, serve como um excelente estudo de caso prático para comparar modelos clássicos de séries temporais com algoritmos modernos de aprendizado de máquina em situações de alta complexidade.</w:t>
      </w:r>
    </w:p>
    <w:p>
      <w:pPr>
        <w:spacing w:before="280" w:after="100" w:line="276" w:lineRule="auto"/>
        <w:jc w:val="left"/>
      </w:pPr>
      <w:r>
        <w:rPr>
          <w:rFonts w:ascii="Arial" w:hAnsi="Arial"/>
          <w:b/>
          <w:sz w:val="24"/>
        </w:rPr>
        <w:t>1.2 Descrição do Problema</w:t>
      </w:r>
    </w:p>
    <w:p>
      <w:pPr>
        <w:spacing w:before="0" w:after="120" w:line="276" w:lineRule="auto"/>
        <w:jc w:val="both"/>
      </w:pPr>
      <w:r>
        <w:rPr>
          <w:rFonts w:ascii="Arial" w:hAnsi="Arial"/>
          <w:sz w:val="23"/>
        </w:rPr>
        <w:t>Ao estruturar a modelagem preditiva da inflação, temos duas abordagens principais:</w:t>
      </w:r>
    </w:p>
    <w:p>
      <w:pPr>
        <w:spacing w:before="0" w:after="120" w:line="276" w:lineRule="auto"/>
        <w:jc w:val="both"/>
      </w:pPr>
      <w:r>
        <w:rPr>
          <w:rFonts w:ascii="Arial" w:hAnsi="Arial"/>
          <w:b/>
          <w:sz w:val="23"/>
        </w:rPr>
        <w:t xml:space="preserve">1. Abordagem Univariada (Apenas Histórico): </w:t>
      </w:r>
      <w:r>
        <w:rPr>
          <w:rFonts w:ascii="Arial" w:hAnsi="Arial"/>
          <w:sz w:val="23"/>
        </w:rPr>
        <w:t>Utiliza exclusivamente os valores passados do próprio IPCA, buscando capturar a inércia inflacionária, a sazonalidade dos meses do ano e ciclos de curto prazo.</w:t>
      </w:r>
    </w:p>
    <w:p>
      <w:pPr>
        <w:spacing w:before="0" w:after="120" w:line="276" w:lineRule="auto"/>
        <w:jc w:val="both"/>
      </w:pPr>
      <w:r>
        <w:rPr>
          <w:rFonts w:ascii="Arial" w:hAnsi="Arial"/>
          <w:b/>
          <w:sz w:val="23"/>
        </w:rPr>
        <w:t xml:space="preserve">2. Abordagem Multivariada (Histórico + Variáveis Externas): </w:t>
      </w:r>
      <w:r>
        <w:rPr>
          <w:rFonts w:ascii="Arial" w:hAnsi="Arial"/>
          <w:sz w:val="23"/>
        </w:rPr>
        <w:t>Combina o histórico do IPCA com variáveis externas (exógenas) de diferentes setores, como taxas de câmbio, juros, atividade econômica, consumo de energia e mercado de trabalho.</w:t>
      </w:r>
    </w:p>
    <w:p>
      <w:pPr>
        <w:spacing w:before="0" w:after="120" w:line="276" w:lineRule="auto"/>
        <w:jc w:val="both"/>
      </w:pPr>
      <w:r>
        <w:rPr>
          <w:rFonts w:ascii="Arial" w:hAnsi="Arial"/>
          <w:sz w:val="23"/>
        </w:rPr>
        <w:t>Contudo, adicionar variáveis externas sem critério pode trazer problemas: muitas variáveis macroeconômicas são parecidas ou correlacionadas entre si (multicolinearidade), o que pode introduzir ruído e fazer o modelo errar mais fora da amostra de treino (sobreajuste ou overfitting). Portanto, além de verificar se a abordagem multivariada é melhor, é fundamental descobrir quais grupos de variáveis realmente ajudam na previsão.</w:t>
      </w:r>
    </w:p>
    <w:p>
      <w:pPr>
        <w:spacing w:before="0" w:after="120" w:line="276" w:lineRule="auto"/>
        <w:jc w:val="both"/>
      </w:pPr>
      <w:r>
        <w:rPr>
          <w:rFonts w:ascii="Arial" w:hAnsi="Arial"/>
          <w:b/>
          <w:sz w:val="23"/>
        </w:rPr>
        <w:t xml:space="preserve">Pergunta Central de Pesquisa: </w:t>
      </w:r>
      <w:r>
        <w:rPr>
          <w:rFonts w:ascii="Arial" w:hAnsi="Arial"/>
          <w:i/>
          <w:sz w:val="23"/>
        </w:rPr>
        <w:t>Em que medida o uso de variáveis macroeconômicas externas melhora a precisão na previsão do IPCA em comparação com modelos puramente históricos (univariados), e quais grupos de indicadores trazem os maiores ganhos de acurácia?</w:t>
      </w:r>
    </w:p>
    <w:p>
      <w:pPr>
        <w:spacing w:before="280" w:after="100" w:line="276" w:lineRule="auto"/>
        <w:jc w:val="left"/>
      </w:pPr>
      <w:r>
        <w:rPr>
          <w:rFonts w:ascii="Arial" w:hAnsi="Arial"/>
          <w:b/>
          <w:sz w:val="24"/>
        </w:rPr>
        <w:t>1.3 Objetivos</w:t>
      </w:r>
    </w:p>
    <w:p>
      <w:pPr>
        <w:spacing w:before="220" w:after="80" w:line="276" w:lineRule="auto"/>
        <w:jc w:val="left"/>
      </w:pPr>
      <w:r>
        <w:rPr>
          <w:rFonts w:ascii="Arial" w:hAnsi="Arial"/>
          <w:b/>
          <w:sz w:val="23"/>
        </w:rPr>
        <w:t>1.3.1 Objetivo Geral</w:t>
      </w:r>
    </w:p>
    <w:p>
      <w:pPr>
        <w:spacing w:before="0" w:after="120" w:line="276" w:lineRule="auto"/>
        <w:jc w:val="both"/>
      </w:pPr>
      <w:r>
        <w:rPr>
          <w:rFonts w:ascii="Arial" w:hAnsi="Arial"/>
          <w:sz w:val="23"/>
        </w:rPr>
        <w:t>Desenvolver, comparar e avaliar modelos de mineração de dados para prever o IPCA mensal brasileiro, confrontando a abordagem univariada com a abordagem multivariada e identificando quais indicadores macroeconômicos são mais importantes para antecipar a inflação.</w:t>
      </w:r>
    </w:p>
    <w:p>
      <w:pPr>
        <w:spacing w:before="220" w:after="80" w:line="276" w:lineRule="auto"/>
        <w:jc w:val="left"/>
      </w:pPr>
      <w:r>
        <w:rPr>
          <w:rFonts w:ascii="Arial" w:hAnsi="Arial"/>
          <w:b/>
          <w:sz w:val="23"/>
        </w:rPr>
        <w:t>1.3.2 Objetivos Específicos</w:t>
      </w:r>
    </w:p>
    <w:p>
      <w:pPr>
        <w:spacing w:before="0" w:after="120" w:line="276" w:lineRule="auto"/>
        <w:jc w:val="both"/>
      </w:pPr>
      <w:r>
        <w:rPr>
          <w:rFonts w:ascii="Arial" w:hAnsi="Arial"/>
          <w:sz w:val="23"/>
        </w:rPr>
        <w:t>1. Coletar e organizar a série histórica mensal do IPCA e de 28 variáveis macroeconômicas oficiais do Banco Central do Brasil (SGS/BACEN) cobrindo o período de março de 2012 a 2026.</w:t>
      </w:r>
    </w:p>
    <w:p>
      <w:pPr>
        <w:spacing w:before="0" w:after="120" w:line="276" w:lineRule="auto"/>
        <w:jc w:val="both"/>
      </w:pPr>
      <w:r>
        <w:rPr>
          <w:rFonts w:ascii="Arial" w:hAnsi="Arial"/>
          <w:sz w:val="23"/>
        </w:rPr>
        <w:t>2. Agrupar as variáveis externas em quatro dimensões lógicas: Índices de Preços, Setor Financeiro/Câmbio, Atividade Econômica/Emprego e Energia/Combustíveis.</w:t>
      </w:r>
    </w:p>
    <w:p>
      <w:pPr>
        <w:spacing w:before="0" w:after="120" w:line="276" w:lineRule="auto"/>
        <w:jc w:val="both"/>
      </w:pPr>
      <w:r>
        <w:rPr>
          <w:rFonts w:ascii="Arial" w:hAnsi="Arial"/>
          <w:sz w:val="23"/>
        </w:rPr>
        <w:t>3. Implementar e ajustar modelos univariados de referência (como ARIMA), estabelecendo a base de comparação histórica.</w:t>
      </w:r>
    </w:p>
    <w:p>
      <w:pPr>
        <w:spacing w:before="0" w:after="120" w:line="276" w:lineRule="auto"/>
        <w:jc w:val="both"/>
      </w:pPr>
      <w:r>
        <w:rPr>
          <w:rFonts w:ascii="Arial" w:hAnsi="Arial"/>
          <w:sz w:val="23"/>
        </w:rPr>
        <w:t>4. Implementar modelos multivariados (como ARIMAX, Lasso e Random Forest) e modelos híbridos, capazes de combinar padrões lineares e não lineares.</w:t>
      </w:r>
    </w:p>
    <w:p>
      <w:pPr>
        <w:spacing w:before="0" w:after="120" w:line="276" w:lineRule="auto"/>
        <w:jc w:val="both"/>
      </w:pPr>
      <w:r>
        <w:rPr>
          <w:rFonts w:ascii="Arial" w:hAnsi="Arial"/>
          <w:sz w:val="23"/>
        </w:rPr>
        <w:t>5. Aplicar técnicas de seleção de atributos (Algoritmos Genéticos e Otimização por Enxame de Partículas - PSO) para encontrar os subconjuntos de variáveis mais informativos.</w:t>
      </w:r>
    </w:p>
    <w:p>
      <w:pPr>
        <w:spacing w:before="0" w:after="120" w:line="276" w:lineRule="auto"/>
        <w:jc w:val="both"/>
      </w:pPr>
      <w:r>
        <w:rPr>
          <w:rFonts w:ascii="Arial" w:hAnsi="Arial"/>
          <w:sz w:val="23"/>
        </w:rPr>
        <w:t>6. Avaliar os modelos por meio de validação temporal dinâmica passo a passo (walk-forward), comparando métricas reais de erro como RMSE, MAE e MAPE.</w:t>
      </w:r>
    </w:p>
    <w:p>
      <w:pPr>
        <w:spacing w:before="280" w:after="100" w:line="276" w:lineRule="auto"/>
        <w:jc w:val="left"/>
      </w:pPr>
      <w:r>
        <w:rPr>
          <w:rFonts w:ascii="Arial" w:hAnsi="Arial"/>
          <w:b/>
          <w:sz w:val="24"/>
        </w:rPr>
        <w:t>1.4 Justificativa</w:t>
      </w:r>
    </w:p>
    <w:p>
      <w:pPr>
        <w:spacing w:before="0" w:after="120" w:line="276" w:lineRule="auto"/>
        <w:jc w:val="both"/>
      </w:pPr>
      <w:r>
        <w:rPr>
          <w:rFonts w:ascii="Arial" w:hAnsi="Arial"/>
          <w:sz w:val="23"/>
        </w:rPr>
        <w:t>A relevância deste estudo apoia-se em quatro motivos diretos:</w:t>
      </w:r>
    </w:p>
    <w:p>
      <w:pPr>
        <w:spacing w:before="0" w:after="120" w:line="276" w:lineRule="auto"/>
        <w:jc w:val="both"/>
      </w:pPr>
      <w:r>
        <w:rPr>
          <w:rFonts w:ascii="Arial" w:hAnsi="Arial"/>
          <w:b/>
          <w:sz w:val="23"/>
        </w:rPr>
        <w:t xml:space="preserve">• Comparação Direta: </w:t>
      </w:r>
      <w:r>
        <w:rPr>
          <w:rFonts w:ascii="Arial" w:hAnsi="Arial"/>
          <w:sz w:val="23"/>
        </w:rPr>
        <w:t>Avalia de forma controlada o benefício real de adicionar variáveis externas em modelos temporais.</w:t>
      </w:r>
    </w:p>
    <w:p>
      <w:pPr>
        <w:spacing w:before="0" w:after="120" w:line="276" w:lineRule="auto"/>
        <w:jc w:val="both"/>
      </w:pPr>
      <w:r>
        <w:rPr>
          <w:rFonts w:ascii="Arial" w:hAnsi="Arial"/>
          <w:b/>
          <w:sz w:val="23"/>
        </w:rPr>
        <w:t xml:space="preserve">• Parcimônia e Eficiência: </w:t>
      </w:r>
      <w:r>
        <w:rPr>
          <w:rFonts w:ascii="Arial" w:hAnsi="Arial"/>
          <w:sz w:val="23"/>
        </w:rPr>
        <w:t>Mostra se vale a pena arcar com o custo de coletar e manter dezenas de variáveis ou se modelos simples e enxutos entregam resultados próximos.</w:t>
      </w:r>
    </w:p>
    <w:p>
      <w:pPr>
        <w:spacing w:before="0" w:after="120" w:line="276" w:lineRule="auto"/>
        <w:jc w:val="both"/>
      </w:pPr>
      <w:r>
        <w:rPr>
          <w:rFonts w:ascii="Arial" w:hAnsi="Arial"/>
          <w:b/>
          <w:sz w:val="23"/>
        </w:rPr>
        <w:t xml:space="preserve">• Clareza Econômica: </w:t>
      </w:r>
      <w:r>
        <w:rPr>
          <w:rFonts w:ascii="Arial" w:hAnsi="Arial"/>
          <w:sz w:val="23"/>
        </w:rPr>
        <w:t>Permite entender com clareza quais setores da economia (como combustíveis ou taxa de câmbio) pesam mais na formação de preços ao consumidor.</w:t>
      </w:r>
    </w:p>
    <w:p>
      <w:pPr>
        <w:spacing w:before="0" w:after="120" w:line="276" w:lineRule="auto"/>
        <w:jc w:val="both"/>
      </w:pPr>
      <w:r>
        <w:rPr>
          <w:rFonts w:ascii="Arial" w:hAnsi="Arial"/>
          <w:b/>
          <w:sz w:val="23"/>
        </w:rPr>
        <w:t xml:space="preserve">• Aplicação Prática: </w:t>
      </w:r>
      <w:r>
        <w:rPr>
          <w:rFonts w:ascii="Arial" w:hAnsi="Arial"/>
          <w:sz w:val="23"/>
        </w:rPr>
        <w:t>Fornece um método testado e validado que pode ser aplicado em rotinas práticas de planejamento orçamentário e projeção econômica.</w:t>
      </w:r>
    </w:p>
    <w:p>
      <w:pPr>
        <w:spacing w:before="280" w:after="100" w:line="276" w:lineRule="auto"/>
        <w:jc w:val="left"/>
      </w:pPr>
      <w:r>
        <w:rPr>
          <w:rFonts w:ascii="Arial" w:hAnsi="Arial"/>
          <w:b/>
          <w:sz w:val="24"/>
        </w:rPr>
        <w:t>1.5 Escopo Negativo</w:t>
      </w:r>
    </w:p>
    <w:p>
      <w:pPr>
        <w:spacing w:before="0" w:after="120" w:line="276" w:lineRule="auto"/>
        <w:jc w:val="both"/>
      </w:pPr>
      <w:r>
        <w:rPr>
          <w:rFonts w:ascii="Arial" w:hAnsi="Arial"/>
          <w:sz w:val="23"/>
        </w:rPr>
        <w:t>Para manter o foco do estudo, definimos com clareza o que não faz parte do trabalho:</w:t>
      </w:r>
    </w:p>
    <w:p>
      <w:pPr>
        <w:spacing w:before="0" w:after="120" w:line="276" w:lineRule="auto"/>
        <w:jc w:val="both"/>
      </w:pPr>
      <w:r>
        <w:rPr>
          <w:rFonts w:ascii="Arial" w:hAnsi="Arial"/>
          <w:b/>
          <w:sz w:val="23"/>
        </w:rPr>
        <w:t xml:space="preserve">• Dados Internacionais: </w:t>
      </w:r>
      <w:r>
        <w:rPr>
          <w:rFonts w:ascii="Arial" w:hAnsi="Arial"/>
          <w:sz w:val="23"/>
        </w:rPr>
        <w:t>O estudo foca exclusivamente no IPCA brasileiro, não abrangendo séries de outros países como os EUA (CPI).</w:t>
      </w:r>
    </w:p>
    <w:p>
      <w:pPr>
        <w:spacing w:before="0" w:after="120" w:line="276" w:lineRule="auto"/>
        <w:jc w:val="both"/>
      </w:pPr>
      <w:r>
        <w:rPr>
          <w:rFonts w:ascii="Arial" w:hAnsi="Arial"/>
          <w:b/>
          <w:sz w:val="23"/>
        </w:rPr>
        <w:t xml:space="preserve">• Mineração de Texto (NLP): </w:t>
      </w:r>
      <w:r>
        <w:rPr>
          <w:rFonts w:ascii="Arial" w:hAnsi="Arial"/>
          <w:sz w:val="23"/>
        </w:rPr>
        <w:t>Não utilizamos análise de textos de notícias ou atas do COPOM via Processamento de Linguagem Natural, restringindo-nos a dados numéricos estruturados.</w:t>
      </w:r>
    </w:p>
    <w:p>
      <w:pPr>
        <w:spacing w:before="0" w:after="120" w:line="276" w:lineRule="auto"/>
        <w:jc w:val="both"/>
      </w:pPr>
      <w:r>
        <w:rPr>
          <w:rFonts w:ascii="Arial" w:hAnsi="Arial"/>
          <w:b/>
          <w:sz w:val="23"/>
        </w:rPr>
        <w:t xml:space="preserve">• Frequência Temporal: </w:t>
      </w:r>
      <w:r>
        <w:rPr>
          <w:rFonts w:ascii="Arial" w:hAnsi="Arial"/>
          <w:sz w:val="23"/>
        </w:rPr>
        <w:t>O horizonte de análise é estritamente mensal, sem previsões diárias ou intradiárias.</w:t>
      </w:r>
    </w:p>
    <w:p>
      <w:pPr>
        <w:spacing w:before="0" w:after="120" w:line="276" w:lineRule="auto"/>
        <w:jc w:val="both"/>
      </w:pPr>
      <w:r>
        <w:rPr>
          <w:rFonts w:ascii="Arial" w:hAnsi="Arial"/>
          <w:b/>
          <w:sz w:val="23"/>
        </w:rPr>
        <w:t xml:space="preserve">• Recomendações de Política: </w:t>
      </w:r>
      <w:r>
        <w:rPr>
          <w:rFonts w:ascii="Arial" w:hAnsi="Arial"/>
          <w:sz w:val="23"/>
        </w:rPr>
        <w:t>O foco é puramente preditivo e comparativo entre algoritmos, sem propor regras normativas de política monetária.</w:t>
      </w:r>
    </w:p>
    <w:p>
      <w:pPr>
        <w:spacing w:before="320" w:after="120" w:line="276" w:lineRule="auto"/>
        <w:jc w:val="left"/>
      </w:pPr>
      <w:r>
        <w:rPr>
          <w:rFonts w:ascii="Arial" w:hAnsi="Arial"/>
          <w:b/>
          <w:sz w:val="26"/>
        </w:rPr>
        <w:t>2. Fundamentação Teórica e Trabalhos Relacionados</w:t>
      </w:r>
    </w:p>
    <w:p>
      <w:pPr>
        <w:spacing w:before="280" w:after="100" w:line="276" w:lineRule="auto"/>
        <w:jc w:val="left"/>
      </w:pPr>
      <w:r>
        <w:rPr>
          <w:rFonts w:ascii="Arial" w:hAnsi="Arial"/>
          <w:b/>
          <w:sz w:val="24"/>
        </w:rPr>
        <w:t>2.1 Dinâmica da Inflação no Brasil</w:t>
      </w:r>
    </w:p>
    <w:p>
      <w:pPr>
        <w:spacing w:before="0" w:after="120" w:line="276" w:lineRule="auto"/>
        <w:jc w:val="both"/>
      </w:pPr>
      <w:r>
        <w:rPr>
          <w:rFonts w:ascii="Arial" w:hAnsi="Arial"/>
          <w:sz w:val="23"/>
        </w:rPr>
        <w:t>Na economia, a inflação é explicada pela interação entre o nível de atividade (demanda), os custos de produção e insumos (oferta) e as expectativas das pessoas e empresas [1], [4]. No Brasil, existe ainda uma forte inércia inflacionária: contratos de aluguel, tarifas públicas, salários e serviços costumam ser reajustados periodicamente com base em índices de inflação do passado, fazendo com que a inflação de um período se propague para os meses seguintes.</w:t>
      </w:r>
    </w:p>
    <w:p>
      <w:pPr>
        <w:spacing w:before="280" w:after="100" w:line="276" w:lineRule="auto"/>
        <w:jc w:val="left"/>
      </w:pPr>
      <w:r>
        <w:rPr>
          <w:rFonts w:ascii="Arial" w:hAnsi="Arial"/>
          <w:b/>
          <w:sz w:val="24"/>
        </w:rPr>
        <w:t>2.2 Mineração de Dados em Séries Temporais e Seleção de Atributos</w:t>
      </w:r>
    </w:p>
    <w:p>
      <w:pPr>
        <w:spacing w:before="0" w:after="120" w:line="276" w:lineRule="auto"/>
        <w:jc w:val="both"/>
      </w:pPr>
      <w:r>
        <w:rPr>
          <w:rFonts w:ascii="Arial" w:hAnsi="Arial"/>
          <w:sz w:val="23"/>
        </w:rPr>
        <w:t>Ao trabalhar com séries temporais, a mineração de dados busca encontrar padrões sequenciais no tempo e entender como diferentes variáveis influenciam um alvo futuro. Quando lidamos com dezenas de variáveis macroeconômicas correlacionadas, o excesso de atributos pode atrapalhar o aprendizado dos modelos. Por isso, selecionar atributos relevantes de forma automatizada — descartando variáveis que apenas geram ruído — é um passo indispensável para melhorar a precisão das previsões.</w:t>
      </w:r>
    </w:p>
    <w:p>
      <w:pPr>
        <w:spacing w:before="280" w:after="100" w:line="276" w:lineRule="auto"/>
        <w:jc w:val="left"/>
      </w:pPr>
      <w:r>
        <w:rPr>
          <w:rFonts w:ascii="Arial" w:hAnsi="Arial"/>
          <w:b/>
          <w:sz w:val="24"/>
        </w:rPr>
        <w:t>2.3 Trabalhos Relacionados</w:t>
      </w:r>
    </w:p>
    <w:p>
      <w:pPr>
        <w:spacing w:before="0" w:after="120" w:line="276" w:lineRule="auto"/>
        <w:jc w:val="both"/>
      </w:pPr>
      <w:r>
        <w:rPr>
          <w:rFonts w:ascii="Arial" w:hAnsi="Arial"/>
          <w:sz w:val="23"/>
        </w:rPr>
        <w:t>A literatura científica que apoia este trabalho pode ser resumida em três grupos principais de estudos:</w:t>
      </w:r>
    </w:p>
    <w:p>
      <w:pPr>
        <w:spacing w:before="0" w:after="120" w:line="276" w:lineRule="auto"/>
        <w:jc w:val="both"/>
      </w:pPr>
      <w:r>
        <w:rPr>
          <w:rFonts w:ascii="Arial" w:hAnsi="Arial"/>
          <w:b/>
          <w:sz w:val="23"/>
        </w:rPr>
        <w:t xml:space="preserve">1. Teoria Econômica e Desafios da Inflação: </w:t>
      </w:r>
      <w:r>
        <w:rPr>
          <w:rFonts w:ascii="Arial" w:hAnsi="Arial"/>
          <w:sz w:val="23"/>
        </w:rPr>
        <w:t>Phillips [5] formalizou a relação entre desemprego e salários, mostrando que mercados de trabalho aquecidos tendem a pressionar preços. Friedman [7] ampliou esse debate destacando o papel essencial da moeda e das expectativas das pessoas sobre a inflação futura. Em livros de referência, Mankiw [1] e Blanchard [4] detalham como variações na taxa básica de juros e no câmbio são transmitidas para a economia. Mais recentemente, Stock e Watson [6] mostraram que a inflação se tornou mais difícil de prever devido a mudanças frequentes de volatilidade e choques econômicos, o que limita o alcance de modelos lineares clássicos.</w:t>
      </w:r>
    </w:p>
    <w:p>
      <w:pPr>
        <w:spacing w:before="0" w:after="120" w:line="276" w:lineRule="auto"/>
        <w:jc w:val="both"/>
      </w:pPr>
      <w:r>
        <w:rPr>
          <w:rFonts w:ascii="Arial" w:hAnsi="Arial"/>
          <w:b/>
          <w:sz w:val="23"/>
        </w:rPr>
        <w:t xml:space="preserve">2. Seleção de Variáveis e Métodos Bioinspirados: </w:t>
      </w:r>
      <w:r>
        <w:rPr>
          <w:rFonts w:ascii="Arial" w:hAnsi="Arial"/>
          <w:sz w:val="23"/>
        </w:rPr>
        <w:t>Miałkowska, Nosarzewski e Kustra [2] compararam métodos de seleção de variáveis em dados financeiros e provaram que eliminar atributos redundantes reduz bastante os erros dos modelos preditivos. Fan et al. [8] reforçaram a necessidade de selecionar atributos respeitando a ordem e as defasagens do tempo. No campo dos métodos bioinspirados de otimização, Al-Dmour et al. [9] e Brandão et al. [12] mostraram que algoritmos como Algoritmos Genéticos (GA) e Otimização por Enxame de Partículas (PSO) conseguem vasculhar grandes combinações de variáveis e encontrar subconjuntos pequenos e eficientes, superando o uso indiscriminado de todas as variáveis.</w:t>
      </w:r>
    </w:p>
    <w:p>
      <w:pPr>
        <w:spacing w:before="0" w:after="120" w:line="276" w:lineRule="auto"/>
        <w:jc w:val="both"/>
      </w:pPr>
      <w:r>
        <w:rPr>
          <w:rFonts w:ascii="Arial" w:hAnsi="Arial"/>
          <w:b/>
          <w:sz w:val="23"/>
        </w:rPr>
        <w:t xml:space="preserve">3. Modelos Temporais e Arquiteturas Híbridas: </w:t>
      </w:r>
      <w:r>
        <w:rPr>
          <w:rFonts w:ascii="Arial" w:hAnsi="Arial"/>
          <w:sz w:val="23"/>
        </w:rPr>
        <w:t>Zhang [3] propôs uma abordagem pioneira para séries temporais ao unir o modelo linear ARIMA com redes neurais artificiais: o ARIMA captura os padrões lineares e a rede neural modela os resíduos que sobraram. Khashei et al. [11] e Oladele [10] aprofundaram esse tema, confirmando que modelos híbridos conseguem combinar o melhor dos dois mundos (a estabilidade dos métodos estatísticos e a flexibilidade do aprendizado de máquina), alcançando resultados superiores aos modelos isolados.</w:t>
      </w:r>
    </w:p>
    <w:p>
      <w:pPr>
        <w:spacing w:before="0" w:after="120" w:line="276" w:lineRule="auto"/>
        <w:jc w:val="both"/>
      </w:pPr>
      <w:r>
        <w:rPr>
          <w:rFonts w:ascii="Arial" w:hAnsi="Arial"/>
          <w:sz w:val="23"/>
        </w:rPr>
        <w:t>Com base nesses estudos, nosso trabalho busca preencher uma lacuna prática: testar, com dados recentes da economia brasileira, até que ponto a inclusão de grupos específicos de variáveis macroeconômicas e o uso de modelos híbridos otimizados realmente superam previsões simples baseadas apenas no passado do IPCA.</w:t>
      </w:r>
    </w:p>
    <w:p>
      <w:pPr>
        <w:spacing w:before="320" w:after="120" w:line="276" w:lineRule="auto"/>
        <w:jc w:val="left"/>
      </w:pPr>
      <w:r>
        <w:rPr>
          <w:rFonts w:ascii="Arial" w:hAnsi="Arial"/>
          <w:b/>
          <w:sz w:val="26"/>
        </w:rPr>
        <w:t>3. Planejamento, Governança e Dados do Projeto</w:t>
      </w:r>
    </w:p>
    <w:p>
      <w:pPr>
        <w:spacing w:before="280" w:after="100" w:line="276" w:lineRule="auto"/>
        <w:jc w:val="left"/>
      </w:pPr>
      <w:r>
        <w:rPr>
          <w:rFonts w:ascii="Arial" w:hAnsi="Arial"/>
          <w:b/>
          <w:sz w:val="24"/>
        </w:rPr>
        <w:t>3.1 Stakeholders Envolvidos no Projeto</w:t>
      </w:r>
    </w:p>
    <w:p>
      <w:pPr>
        <w:spacing w:before="0" w:after="120" w:line="276" w:lineRule="auto"/>
        <w:jc w:val="both"/>
      </w:pPr>
      <w:r>
        <w:rPr>
          <w:rFonts w:ascii="Arial" w:hAnsi="Arial"/>
          <w:sz w:val="23"/>
        </w:rPr>
        <w:t>Este projeto possui cinco grupos de partes interessadas (stakeholders), cada um com interesses específicos nos resultados:</w:t>
      </w:r>
    </w:p>
    <w:p>
      <w:pPr>
        <w:spacing w:before="0" w:after="120" w:line="276" w:lineRule="auto"/>
        <w:jc w:val="both"/>
      </w:pPr>
      <w:r>
        <w:rPr>
          <w:rFonts w:ascii="Arial" w:hAnsi="Arial"/>
          <w:b/>
          <w:sz w:val="23"/>
        </w:rPr>
        <w:t xml:space="preserve">• Equipe de Pesquisa e Desenvolvimento: </w:t>
      </w:r>
      <w:r>
        <w:rPr>
          <w:rFonts w:ascii="Arial" w:hAnsi="Arial"/>
          <w:sz w:val="23"/>
        </w:rPr>
        <w:t>Alunos da disciplina de Mineração de Dados da Escola Politécnica da Universidade de Pernambuco (Poli-UPE), responsáveis pela coleta de dados, desenvolvimento dos scripts, calibração dos modelos e redação do artigo.</w:t>
      </w:r>
    </w:p>
    <w:p>
      <w:pPr>
        <w:spacing w:before="0" w:after="120" w:line="276" w:lineRule="auto"/>
        <w:jc w:val="both"/>
      </w:pPr>
      <w:r>
        <w:rPr>
          <w:rFonts w:ascii="Arial" w:hAnsi="Arial"/>
          <w:b/>
          <w:sz w:val="23"/>
        </w:rPr>
        <w:t xml:space="preserve">• Corpo Docente e Avaliadores Acadêmicos: </w:t>
      </w:r>
      <w:r>
        <w:rPr>
          <w:rFonts w:ascii="Arial" w:hAnsi="Arial"/>
          <w:sz w:val="23"/>
        </w:rPr>
        <w:t>Professores e orientadores da disciplina, responsáveis pela avaliação do rigor metodológico, da qualidade do código e da consistência científica das análises.</w:t>
      </w:r>
    </w:p>
    <w:p>
      <w:pPr>
        <w:spacing w:before="0" w:after="120" w:line="276" w:lineRule="auto"/>
        <w:jc w:val="both"/>
      </w:pPr>
      <w:r>
        <w:rPr>
          <w:rFonts w:ascii="Arial" w:hAnsi="Arial"/>
          <w:b/>
          <w:sz w:val="23"/>
        </w:rPr>
        <w:t xml:space="preserve">• Mercado Financeiro e Investidores: </w:t>
      </w:r>
      <w:r>
        <w:rPr>
          <w:rFonts w:ascii="Arial" w:hAnsi="Arial"/>
          <w:sz w:val="23"/>
        </w:rPr>
        <w:t>Economistas, analistas e gestores de fundos de investimento que operam no mercado de renda fixa e utilizam projeções da inflação para precificar títulos públicos, contratos futuros e derivativos.</w:t>
      </w:r>
    </w:p>
    <w:p>
      <w:pPr>
        <w:spacing w:before="0" w:after="120" w:line="276" w:lineRule="auto"/>
        <w:jc w:val="both"/>
      </w:pPr>
      <w:r>
        <w:rPr>
          <w:rFonts w:ascii="Arial" w:hAnsi="Arial"/>
          <w:b/>
          <w:sz w:val="23"/>
        </w:rPr>
        <w:t xml:space="preserve">• Setor Produtivo e Empresas: </w:t>
      </w:r>
      <w:r>
        <w:rPr>
          <w:rFonts w:ascii="Arial" w:hAnsi="Arial"/>
          <w:sz w:val="23"/>
        </w:rPr>
        <w:t>Empresas e gestores financeiros que precisam de projeções de custos para renegociar contratos comerciais, planejar compras e projetar orçamentos.</w:t>
      </w:r>
    </w:p>
    <w:p>
      <w:pPr>
        <w:spacing w:before="0" w:after="120" w:line="276" w:lineRule="auto"/>
        <w:jc w:val="both"/>
      </w:pPr>
      <w:r>
        <w:rPr>
          <w:rFonts w:ascii="Arial" w:hAnsi="Arial"/>
          <w:b/>
          <w:sz w:val="23"/>
        </w:rPr>
        <w:t xml:space="preserve">• Setor Público: </w:t>
      </w:r>
      <w:r>
        <w:rPr>
          <w:rFonts w:ascii="Arial" w:hAnsi="Arial"/>
          <w:sz w:val="23"/>
        </w:rPr>
        <w:t>Técnicos e analistas de órgãos públicos que acompanham os impactos da inflação no poder de compra das famílias e no orçamento do Estado.</w:t>
      </w:r>
    </w:p>
    <w:p>
      <w:pPr>
        <w:spacing w:before="280" w:after="100" w:line="276" w:lineRule="auto"/>
        <w:jc w:val="left"/>
      </w:pPr>
      <w:r/>
      <w:r>
        <w:rPr>
          <w:rFonts w:ascii="Arial" w:hAnsi="Arial"/>
          <w:b/>
          <w:sz w:val="24"/>
        </w:rPr>
        <w:t>3.2 Base de Dados e Contextualização Macroeconômica</w:t>
      </w:r>
    </w:p>
    <w:p>
      <w:pPr>
        <w:spacing w:before="0" w:after="120" w:line="276" w:lineRule="auto"/>
        <w:jc w:val="both"/>
      </w:pPr>
      <w:r>
        <w:rPr>
          <w:rFonts w:ascii="Arial" w:hAnsi="Arial"/>
          <w:sz w:val="23"/>
        </w:rPr>
        <w:t>Os dados utilizados neste trabalho foram coletados de forma automatizada por meio da API do Sistema Gerenciador de Séries Temporais (SGS) do Banco Central do Brasil. O período escolhido abrange de março de 2012 até 2026, com frequência mensal (início do mês – Month Start), sem lacunas temporais.</w:t>
      </w:r>
    </w:p>
    <w:p>
      <w:pPr>
        <w:spacing w:before="0" w:after="120" w:line="276" w:lineRule="auto"/>
        <w:jc w:val="both"/>
      </w:pPr>
      <w:r/>
      <w:r>
        <w:rPr>
          <w:rFonts w:ascii="Arial" w:hAnsi="Arial"/>
          <w:sz w:val="23"/>
        </w:rPr>
        <w:t>O conjunto de dados é formado por 1 variável alvo (IPCA) e 28 variáveis exógenas (preditoras), estruturadas em quatro dimensões macroeconômicas da economia brasileira: (i) Índices de Preços e Componentes Setoriais (11 variáveis); (ii) Setor Financeiro e Câmbio (3 variáveis); (iii) Atividade Econômica e Emprego (7 variáveis); e (iv) Energia e Combustíveis (6 variáveis). As características técnicas completas, transformações matemáticas de estacionarização e a seleção definitiva de cada variável estão consolidadas no Dicionário de Dados Final (Tabela 1), apresentado na Seção 3.4.4 após a descrição das etapas de pré-processamento.</w:t>
      </w:r>
    </w:p>
    <w:p>
      <w:pPr>
        <w:spacing w:before="220" w:after="80" w:line="276" w:lineRule="auto"/>
        <w:jc w:val="left"/>
      </w:pPr>
      <w:r>
        <w:rPr>
          <w:rFonts w:ascii="Arial" w:hAnsi="Arial"/>
          <w:b/>
          <w:sz w:val="23"/>
        </w:rPr>
        <w:t>3.2.1 Delimitação Temporal e Escolha do Período (2012 a 2026)</w:t>
      </w:r>
    </w:p>
    <w:p>
      <w:pPr>
        <w:spacing w:before="0" w:after="120" w:line="276" w:lineRule="auto"/>
        <w:jc w:val="both"/>
      </w:pPr>
      <w:r>
        <w:rPr>
          <w:rFonts w:ascii="Arial" w:hAnsi="Arial"/>
          <w:sz w:val="23"/>
        </w:rPr>
        <w:t>A série temporal do projeto começa em março de 2012 e vai até 2026. A escolha de 2012 como ponto de partida foi necessária por três razões práticas:</w:t>
      </w:r>
    </w:p>
    <w:p>
      <w:pPr>
        <w:spacing w:before="0" w:after="120" w:line="276" w:lineRule="auto"/>
        <w:jc w:val="both"/>
      </w:pPr>
      <w:r>
        <w:rPr>
          <w:rFonts w:ascii="Arial" w:hAnsi="Arial"/>
          <w:b/>
          <w:sz w:val="23"/>
        </w:rPr>
        <w:t xml:space="preserve">1. Nova Metodologia do Desemprego (PNAD Contínua): </w:t>
      </w:r>
      <w:r>
        <w:rPr>
          <w:rFonts w:ascii="Arial" w:hAnsi="Arial"/>
          <w:sz w:val="23"/>
        </w:rPr>
        <w:t>Até o início de 2012, o desemprego oficial era medido pela PME, que cobria apenas 6 capitais. Em 2012 começou a PNAD Contínua com cobertura nacional. Como as metodologias são diferentes, juntar as duas séries criaria uma distorção artificial nos dados de emprego.</w:t>
      </w:r>
    </w:p>
    <w:p>
      <w:pPr>
        <w:spacing w:before="0" w:after="120" w:line="276" w:lineRule="auto"/>
        <w:jc w:val="both"/>
      </w:pPr>
      <w:r>
        <w:rPr>
          <w:rFonts w:ascii="Arial" w:hAnsi="Arial"/>
          <w:b/>
          <w:sz w:val="23"/>
        </w:rPr>
        <w:t xml:space="preserve">2. Nova Cesta do IPCA (POF 2008-2009): </w:t>
      </w:r>
      <w:r>
        <w:rPr>
          <w:rFonts w:ascii="Arial" w:hAnsi="Arial"/>
          <w:sz w:val="23"/>
        </w:rPr>
        <w:t>Em 2012, o IBGE atualizou a cesta de consumo do IPCA com base nos hábitos reais das famílias levantados pela POF 2008-2009, mudando os pesos de grupos importantes como alimentação e transportes.</w:t>
      </w:r>
    </w:p>
    <w:p>
      <w:pPr>
        <w:spacing w:before="0" w:after="120" w:line="276" w:lineRule="auto"/>
        <w:jc w:val="both"/>
      </w:pPr>
      <w:r>
        <w:rPr>
          <w:rFonts w:ascii="Arial" w:hAnsi="Arial"/>
          <w:b/>
          <w:sz w:val="23"/>
        </w:rPr>
        <w:t xml:space="preserve">3. Séries Contínuas e Sem Buracos: </w:t>
      </w:r>
      <w:r>
        <w:rPr>
          <w:rFonts w:ascii="Arial" w:hAnsi="Arial"/>
          <w:sz w:val="23"/>
        </w:rPr>
        <w:t>Diversos dados do Banco Central (como consumo detalhado de combustíveis e energia) passaram a ser divulgados sem interrupções a partir de 2012. Assim, obtivemos uma base de dados limpa e completa, sem precisar inventar ou preencher períodos longos com estimativas artificiais.</w:t>
      </w:r>
    </w:p>
    <w:p>
      <w:pPr>
        <w:spacing w:before="220" w:after="80" w:line="276" w:lineRule="auto"/>
        <w:jc w:val="left"/>
      </w:pPr>
      <w:r>
        <w:rPr>
          <w:rFonts w:ascii="Arial" w:hAnsi="Arial"/>
          <w:b/>
          <w:sz w:val="23"/>
        </w:rPr>
        <w:t>3.2.2 A Variável Alvo: IPCA</w:t>
      </w:r>
    </w:p>
    <w:p>
      <w:pPr>
        <w:spacing w:before="0" w:after="120" w:line="276" w:lineRule="auto"/>
        <w:jc w:val="both"/>
      </w:pPr>
      <w:r>
        <w:rPr>
          <w:rFonts w:ascii="Arial" w:hAnsi="Arial"/>
          <w:sz w:val="23"/>
        </w:rPr>
        <w:t>O IPCA mede o custo de vida de famílias que ganham entre 1 e 40 salários mínimos e serve como meta oficial para o Banco Central. No nosso projeto, ele é a variável alvo que queremos prever (y). A trajetória do IPCA é marcada por inércia histórica (a inflação de hoje carrega parte da inflação passada) combinada com oscilações repentinas provocadas por choques de preços externos.</w:t>
      </w:r>
    </w:p>
    <w:p>
      <w:pPr>
        <w:spacing w:before="220" w:after="80" w:line="276" w:lineRule="auto"/>
        <w:jc w:val="left"/>
      </w:pPr>
      <w:r>
        <w:rPr>
          <w:rFonts w:ascii="Arial" w:hAnsi="Arial"/>
          <w:b/>
          <w:sz w:val="23"/>
        </w:rPr>
        <w:t>3.2.3 Índices de Preços e Componentes Setoriais</w:t>
      </w:r>
    </w:p>
    <w:p>
      <w:pPr>
        <w:spacing w:before="0" w:after="120" w:line="276" w:lineRule="auto"/>
        <w:jc w:val="both"/>
      </w:pPr>
      <w:r>
        <w:rPr>
          <w:rFonts w:ascii="Arial" w:hAnsi="Arial"/>
          <w:sz w:val="23"/>
        </w:rPr>
        <w:t>Os grupos Alimentação e Transportes respondem por mais de 40% do IPCA. Alimentos sofrem muito com o clima e safras, enquanto transportes reagem quase que de imediato ao preço dos combustíveis e tarifas de ônibus. Além deles, acompanhamos o IGP-M e o IGP-DI da FGV, que são muito influenciados pelo dólar e pelos preços no atacado, servindo como sinais antecipados da inflação que mais tarde chega ao consumidor final.</w:t>
      </w:r>
    </w:p>
    <w:p>
      <w:pPr>
        <w:spacing w:before="220" w:after="80" w:line="276" w:lineRule="auto"/>
        <w:jc w:val="left"/>
      </w:pPr>
      <w:r>
        <w:rPr>
          <w:rFonts w:ascii="Arial" w:hAnsi="Arial"/>
          <w:b/>
          <w:sz w:val="23"/>
        </w:rPr>
        <w:t>3.2.4 Setor Financeiro, Moeda e Câmbio</w:t>
      </w:r>
    </w:p>
    <w:p>
      <w:pPr>
        <w:spacing w:before="0" w:after="120" w:line="276" w:lineRule="auto"/>
        <w:jc w:val="both"/>
      </w:pPr>
      <w:r>
        <w:rPr>
          <w:rFonts w:ascii="Arial" w:hAnsi="Arial"/>
          <w:sz w:val="23"/>
        </w:rPr>
        <w:t>A taxa de câmbio (dólar) é fundamental: quando o dólar sobe, produtos importados, insumos industriais, defensivos agrícolas e combustíveis ficam mais caros no Brasil. Já a taxa Selic é a principal ferramenta do Banco Central para desacelerar a economia quando a inflação ameaça subir. As Reservas Internacionais completam o grupo como uma reserva de segurança para conter crises externas.</w:t>
      </w:r>
    </w:p>
    <w:p>
      <w:pPr>
        <w:spacing w:before="220" w:after="80" w:line="276" w:lineRule="auto"/>
        <w:jc w:val="left"/>
      </w:pPr>
      <w:r>
        <w:rPr>
          <w:rFonts w:ascii="Arial" w:hAnsi="Arial"/>
          <w:b/>
          <w:sz w:val="23"/>
        </w:rPr>
        <w:t>3.2.5 Atividade Econômica e Emprego</w:t>
      </w:r>
    </w:p>
    <w:p>
      <w:pPr>
        <w:spacing w:before="0" w:after="120" w:line="276" w:lineRule="auto"/>
        <w:jc w:val="both"/>
      </w:pPr>
      <w:r>
        <w:rPr>
          <w:rFonts w:ascii="Arial" w:hAnsi="Arial"/>
          <w:sz w:val="23"/>
        </w:rPr>
        <w:t>O nível de atividade é acompanhado pelo PIB Mensal e pelo mercado de trabalho (desemprego da PNAD Contínua, Salário Mínimo e postos de trabalho formais do CAGED). Quando o desemprego cai e a renda sobe, a demanda das famílias aumenta, o que costuma pressionar o setor de serviços. A produção de ovos foi mantida como um indicador prático da oferta básica de alimentos.</w:t>
      </w:r>
    </w:p>
    <w:p>
      <w:pPr>
        <w:spacing w:before="220" w:after="80" w:line="276" w:lineRule="auto"/>
        <w:jc w:val="left"/>
      </w:pPr>
      <w:r>
        <w:rPr>
          <w:rFonts w:ascii="Arial" w:hAnsi="Arial"/>
          <w:b/>
          <w:sz w:val="23"/>
        </w:rPr>
        <w:t>3.2.6 Energia e Combustíveis</w:t>
      </w:r>
    </w:p>
    <w:p>
      <w:pPr>
        <w:spacing w:before="0" w:after="120" w:line="276" w:lineRule="auto"/>
        <w:jc w:val="both"/>
      </w:pPr>
      <w:r>
        <w:rPr>
          <w:rFonts w:ascii="Arial" w:hAnsi="Arial"/>
          <w:sz w:val="23"/>
        </w:rPr>
        <w:t>Como o transporte no Brasil depende muito de rodovias, o consumo e a produção de derivados de petróleo (gasolina e óleo diesel) funcionam como termômetros diretos dos custos de frete e distribuição. O consumo de energia elétrica (comercial e residencial) serve para acompanhar o ritmo real de atividade do comércio e dos lares de forma rápida e confiável.</w:t>
      </w:r>
    </w:p>
    <w:p>
      <w:pPr>
        <w:spacing w:before="280" w:after="100" w:line="276" w:lineRule="auto"/>
        <w:jc w:val="left"/>
      </w:pPr>
      <w:r>
        <w:rPr>
          <w:rFonts w:ascii="Arial" w:hAnsi="Arial"/>
          <w:b/>
          <w:sz w:val="24"/>
        </w:rPr>
        <w:t>3.3 Governança e Qualidade dos Dados</w:t>
      </w:r>
    </w:p>
    <w:p>
      <w:pPr>
        <w:spacing w:before="0" w:after="120" w:line="276" w:lineRule="auto"/>
        <w:jc w:val="both"/>
      </w:pPr>
      <w:r>
        <w:rPr>
          <w:rFonts w:ascii="Arial" w:hAnsi="Arial"/>
          <w:sz w:val="23"/>
        </w:rPr>
        <w:t>Para garantir a confiabilidade dos experimentos, adotamos critérios claros de qualidade e governança:</w:t>
      </w:r>
    </w:p>
    <w:p>
      <w:pPr>
        <w:spacing w:before="0" w:after="120" w:line="276" w:lineRule="auto"/>
        <w:jc w:val="both"/>
      </w:pPr>
      <w:r>
        <w:rPr>
          <w:rFonts w:ascii="Arial" w:hAnsi="Arial"/>
          <w:b/>
          <w:sz w:val="23"/>
        </w:rPr>
        <w:t xml:space="preserve">• Dados Públicos Abertos: </w:t>
      </w:r>
      <w:r>
        <w:rPr>
          <w:rFonts w:ascii="Arial" w:hAnsi="Arial"/>
          <w:sz w:val="23"/>
        </w:rPr>
        <w:t>Todas as séries utilizadas vêm de fontes oficiais e públicas (Banco Central, IBGE e Ministério do Trabalho), em formato agregado, sem nenhuma informação pessoal ou restrita por sigilo, em total conformidade com a LGPD (Lei nº 13.709/2018).</w:t>
      </w:r>
    </w:p>
    <w:p>
      <w:pPr>
        <w:spacing w:before="0" w:after="120" w:line="276" w:lineRule="auto"/>
        <w:jc w:val="both"/>
      </w:pPr>
      <w:r>
        <w:rPr>
          <w:rFonts w:ascii="Arial" w:hAnsi="Arial"/>
          <w:b/>
          <w:sz w:val="23"/>
        </w:rPr>
        <w:t xml:space="preserve">• Sem Vazamento do Futuro: </w:t>
      </w:r>
      <w:r>
        <w:rPr>
          <w:rFonts w:ascii="Arial" w:hAnsi="Arial"/>
          <w:sz w:val="23"/>
        </w:rPr>
        <w:t>Para evitar qualquer tipo de vazamento de dados futuros (lookahead bias), ao fazer a previsão do mês t, os modelos recebem estritamente as informações divulgadas até o mês anterior (t-1).</w:t>
      </w:r>
    </w:p>
    <w:p>
      <w:pPr>
        <w:spacing w:before="0" w:after="120" w:line="276" w:lineRule="auto"/>
        <w:jc w:val="both"/>
      </w:pPr>
      <w:r>
        <w:rPr>
          <w:rFonts w:ascii="Arial" w:hAnsi="Arial"/>
          <w:b/>
          <w:sz w:val="23"/>
        </w:rPr>
        <w:t xml:space="preserve">• Tratamento de Revisões: </w:t>
      </w:r>
      <w:r>
        <w:rPr>
          <w:rFonts w:ascii="Arial" w:hAnsi="Arial"/>
          <w:sz w:val="23"/>
        </w:rPr>
        <w:t>Algumas séries (como o PIB e o CAGED) passam por revisões oficiais tempos depois. No projeto, utilizamos a base histórica consolidada pelo SGS do Banco Central para manter as comparações estáveis.</w:t>
      </w:r>
    </w:p>
    <w:p>
      <w:pPr>
        <w:spacing w:before="0" w:after="120" w:line="276" w:lineRule="auto"/>
        <w:jc w:val="both"/>
      </w:pPr>
      <w:r>
        <w:rPr>
          <w:rFonts w:ascii="Arial" w:hAnsi="Arial"/>
          <w:b/>
          <w:sz w:val="23"/>
        </w:rPr>
        <w:t xml:space="preserve">• Reprodutibilidade: </w:t>
      </w:r>
      <w:r>
        <w:rPr>
          <w:rFonts w:ascii="Arial" w:hAnsi="Arial"/>
          <w:sz w:val="23"/>
        </w:rPr>
        <w:t>Garantimos um calendário de dados contínuo de março de 2012 a 2026, evitando lacunas e garantindo que os experimentos possam ser reproduzidos com o mesmo script.</w:t>
      </w:r>
    </w:p>
    <w:p>
      <w:pPr>
        <w:spacing w:before="280" w:after="100" w:line="276" w:lineRule="auto"/>
        <w:jc w:val="left"/>
      </w:pPr>
      <w:r>
        <w:rPr>
          <w:rFonts w:ascii="Arial" w:hAnsi="Arial"/>
          <w:b/>
          <w:sz w:val="24"/>
        </w:rPr>
        <w:t>3.4 Pré-processamento dos Dados e Dicionário de Dados Final</w:t>
      </w:r>
    </w:p>
    <w:p>
      <w:pPr>
        <w:spacing w:before="40" w:after="120" w:line="276" w:lineRule="auto"/>
        <w:jc w:val="both"/>
      </w:pPr>
      <w:r>
        <w:rPr>
          <w:rFonts w:ascii="Arial" w:hAnsi="Arial"/>
          <w:sz w:val="23"/>
        </w:rPr>
        <w:t>O pré-processamento de dados é a etapa fundamental que transforma as séries econômicas brutas em um painel consistente, estável e apto para alimentar os modelos econométricos e de aprendizado de máquina. Em séries macroeconômicas, dados em estado bruto frequentemente violam premissas de estacionariedade, apresentam valores faltantes decorrentes de defasagens de divulgação, exibem escalas numéricas amplamente discrepantes e contêm ruídos ou zeros pontuais que mascaram o comportamento econômico real. Para assegurar a robustez estatística das estimativas e prevenir rigorosamente o vazamento de informações futuras (data leakage), estruturou-se um pipeline de preparação organizado em três eixos metodológicos sistemáticos: Limpeza (Data Cleaning), Redução (Data Reduction) e Transformação (Data Transformation), culminando na consolidação do Dicionário de Dados Final do projeto.</w:t>
      </w:r>
    </w:p>
    <w:p>
      <w:pPr>
        <w:spacing w:before="220" w:after="80" w:line="276" w:lineRule="auto"/>
        <w:jc w:val="left"/>
      </w:pPr>
      <w:r>
        <w:rPr>
          <w:rFonts w:ascii="Arial" w:hAnsi="Arial"/>
          <w:b/>
          <w:sz w:val="23"/>
        </w:rPr>
        <w:t>3.4.1 Procedimentos de Limpeza e Saneamento de Dados (Data Cleaning)</w:t>
      </w:r>
    </w:p>
    <w:p>
      <w:pPr>
        <w:spacing w:before="40" w:after="100" w:line="276" w:lineRule="auto"/>
        <w:jc w:val="both"/>
      </w:pPr>
      <w:r>
        <w:rPr>
          <w:rFonts w:ascii="Arial" w:hAnsi="Arial"/>
          <w:sz w:val="23"/>
        </w:rPr>
        <w:t>A etapa de saneamento concentrou-se na correção de falhas de registro, padronização temporal e tratamento criterioso de inconsistências empíricas:</w:t>
      </w:r>
    </w:p>
    <w:p>
      <w:pPr>
        <w:spacing w:before="40" w:after="100" w:line="276" w:lineRule="auto"/>
        <w:jc w:val="both"/>
      </w:pPr>
      <w:r>
        <w:rPr>
          <w:rFonts w:ascii="Arial" w:hAnsi="Arial"/>
          <w:b/>
          <w:sz w:val="23"/>
        </w:rPr>
        <w:t xml:space="preserve">1. Sincronização Cronológica e Agregação de Frequência: </w:t>
      </w:r>
      <w:r>
        <w:rPr>
          <w:rFonts w:ascii="Arial" w:hAnsi="Arial"/>
          <w:sz w:val="23"/>
        </w:rPr>
        <w:t>As séries macroeconômicas coletadas junto ao Banco Central do Brasil apresentavam frequências originais heterogêneas. Séries do mercado financeiro apuradas em base diária — especificamente a taxa de câmbio PTAX (USDBRL) e a taxa de juros Over/Selic — foram convertidas para periodicidade mensal por meio da média aritmética dos dias úteis de cada mês. Em seguida, todas as 28 variáveis foram sincronizadas sob uma grade homogênea contínua na frequência Month Start (MS), estendendo-se de março de 2012 até 2026, garantindo alinhamento cronológico perfeito e sem descontinuidades amostrais no período.</w:t>
      </w:r>
    </w:p>
    <w:p>
      <w:pPr>
        <w:spacing w:before="40" w:after="100" w:line="276" w:lineRule="auto"/>
        <w:jc w:val="both"/>
      </w:pPr>
      <w:r>
        <w:rPr>
          <w:rFonts w:ascii="Arial" w:hAnsi="Arial"/>
          <w:b/>
          <w:sz w:val="23"/>
        </w:rPr>
        <w:t xml:space="preserve">2. Identificação e Tratamento de Zeros Estruturais: </w:t>
      </w:r>
      <w:r>
        <w:rPr>
          <w:rFonts w:ascii="Arial" w:hAnsi="Arial"/>
          <w:sz w:val="23"/>
        </w:rPr>
        <w:t>Em variáveis que mensuram fluxos físicos contínuos e estoques econômicos (como volume de refino de derivados de petróleo, consumo industrial e automotivo de combustíveis, consumo de energia elétrica, reservas internacionais e estoques de emprego formal do CAGED), constatou-se a ocorrência pontual do valor numérico zero. Na economia real, tais grandezas físicas jamais atingem valor nulo; a presença de zeros decorria de atrasos pontuais no envio de declarações contábeis e retenções no processamento dos órgãos informantes. Para evitar que esses zeros artificiais gerassem distorções graves em variações percentuais ou inviabilizassem transformações logarítmicas, esses registros espúrios foram convertidos em valores nulos (NaN) para receber tratamento adequado de imputação temporal.</w:t>
      </w:r>
    </w:p>
    <w:p>
      <w:pPr>
        <w:spacing w:before="40" w:after="100" w:line="276" w:lineRule="auto"/>
        <w:jc w:val="both"/>
      </w:pPr>
      <w:r>
        <w:rPr>
          <w:rFonts w:ascii="Arial" w:hAnsi="Arial"/>
          <w:b/>
          <w:sz w:val="23"/>
        </w:rPr>
        <w:t xml:space="preserve">3. Sanitização de Inconsistências Aritméticas (±∞): </w:t>
      </w:r>
      <w:r>
        <w:rPr>
          <w:rFonts w:ascii="Arial" w:hAnsi="Arial"/>
          <w:sz w:val="23"/>
        </w:rPr>
        <w:t>Operações matemáticas que envolvem taxas marginais de aceleração e variações percentuais podem originar valores infinitos positivos ou negativos caso ocorra divisão por valores nulos ou infinitesimais. Esses registros inconsistentes foram detectados computacionalmente e substituídos por valores nulos (replace([np.inf, -np.inf], np.nan)), impedindo que erros numéricos corrompessem os algoritmos de padronização e os estimadores de aprendizado de máquina.</w:t>
      </w:r>
    </w:p>
    <w:p>
      <w:pPr>
        <w:spacing w:before="40" w:after="100" w:line="276" w:lineRule="auto"/>
        <w:jc w:val="both"/>
      </w:pPr>
      <w:r>
        <w:rPr>
          <w:rFonts w:ascii="Arial" w:hAnsi="Arial"/>
          <w:b/>
          <w:sz w:val="23"/>
        </w:rPr>
        <w:t xml:space="preserve">4. Tratamento de Valores Nulos e Imputação Temporal sem Vazamento de Dados (Data Leakage): </w:t>
      </w:r>
      <w:r>
        <w:rPr>
          <w:rFonts w:ascii="Arial" w:hAnsi="Arial"/>
          <w:sz w:val="23"/>
        </w:rPr>
        <w:t>O preenchimento de dados ausentes seguiu uma metodologia estritamente orientada ao domínio temporal, evitando o emprego ingênuo de médias aritméticas globais que romperiam a inércia histórica da série: (i) para a recomposição da continuidade nas séries históricas da base macroeconômica, empregou-se a interpolação linear temporal indexada pelo índice de datas (interpolate(method='time')), combinada com preenchimento para frente e para trás (ffill() e bfill()) restrito exclusivamente às pontas da amostra, preservando a curvatura natural e a inércia estocástica dos fenômenos econômicos; (ii) para os regressores supervisionados de aprendizado de máquina (como KNN, Lasso, Random Forest e Redes Neurais), estabeleceu-se uma blindagem metodológica contra o vazamento de informações futuras (lookahead bias). Quaisquer operadores de imputação estatística (como a mediana via SimpleImputer) foram calibrados (fit) exclusivamente na partição de treinamento e aplicados (transform) de maneira cega sobre a partição de teste, assegurando que o modelo opere apenas com as informações disponíveis no momento de cada decisão.</w:t>
      </w:r>
    </w:p>
    <w:p>
      <w:pPr>
        <w:spacing w:before="40" w:after="120" w:line="276" w:lineRule="auto"/>
        <w:jc w:val="both"/>
      </w:pPr>
      <w:r>
        <w:rPr>
          <w:rFonts w:ascii="Arial" w:hAnsi="Arial"/>
          <w:b/>
          <w:sz w:val="23"/>
        </w:rPr>
        <w:t xml:space="preserve">5. Diagnóstico de Outliers e Preservação de Choques Macroeconômicos Reais: </w:t>
      </w:r>
      <w:r>
        <w:rPr>
          <w:rFonts w:ascii="Arial" w:hAnsi="Arial"/>
          <w:sz w:val="23"/>
        </w:rPr>
        <w:t>A identificação de observações discrepantes foi executada com base no critério interquartílico de Tukey (IQR = Q3 - Q1, com limites em Q1 - 1,5*IQR e Q3 + 1,5*IQR). No contexto econômico, anomalias extremas frequentemente não derivam de erros de medição, mas representam choques macroeconômicos genuínos e altamente informativos. No período avaliado (2012 a 2026), destacam-se dois episódios de grande impacto: a deflação histórica decorrente da eclosão da pandemia de COVID-19 e das medidas de confinamento sanitário em abril e maio de 2020; e a deflação induzida pelo corte legislativo nas alíquotas de ICMS e tributos federais sobre combustíveis e energia no segundo semestre de 2022. Eliminar ou substituir artificialmente esses pontos apagaria a própria volatilidade real que os modelos preditivos precisam aprender a capturar. Por essa razão, os choques reais foram integralmente preservados para a modelagem estocástica do ARIMA e ARIMAX. Já para os algoritmos de aprendizado de máquina cuja superfície de custo é sensível a distâncias espaciais euclidianas ou à convergência de gradientes (como o KNN e redes neurais), aplicou-se uma winsorização conservadora restrita aos percentis 1% e 99%, calculados exclusivamente a partir da partição de treinamento (np.clip(X, q_01, q_99)). Esse cuidado protege os regressores contra distorções geométricas severas nos pesos sem mascarar a dinâmica macroeconômica.</w:t>
      </w:r>
    </w:p>
    <w:p>
      <w:pPr>
        <w:spacing w:before="220" w:after="80" w:line="276" w:lineRule="auto"/>
        <w:jc w:val="left"/>
      </w:pPr>
      <w:r>
        <w:rPr>
          <w:rFonts w:ascii="Arial" w:hAnsi="Arial"/>
          <w:b/>
          <w:sz w:val="23"/>
        </w:rPr>
        <w:t>3.4.2 Técnicas de Redução de Dados e Dimensionalidade (Data Reduction)</w:t>
      </w:r>
    </w:p>
    <w:p>
      <w:pPr>
        <w:spacing w:before="40" w:after="100" w:line="276" w:lineRule="auto"/>
        <w:jc w:val="both"/>
      </w:pPr>
      <w:r>
        <w:rPr>
          <w:rFonts w:ascii="Arial" w:hAnsi="Arial"/>
          <w:sz w:val="23"/>
        </w:rPr>
        <w:t>A alta dimensionalidade macroeconômica eleva o risco de sobreajuste (overfitting), instabilidade nos parâmetros e multicolinearidade severa. Para concentrar a informação preditiva nas variáveis mais explicativas, aplicaram-se duas técnicas de redução:</w:t>
      </w:r>
    </w:p>
    <w:p>
      <w:pPr>
        <w:spacing w:before="40" w:after="100" w:line="276" w:lineRule="auto"/>
        <w:jc w:val="both"/>
      </w:pPr>
      <w:r>
        <w:rPr>
          <w:rFonts w:ascii="Arial" w:hAnsi="Arial"/>
          <w:b/>
          <w:sz w:val="23"/>
        </w:rPr>
        <w:t xml:space="preserve">1. Redução Amostral Estrutural (Truncamento Temporal pós-março de 2012): </w:t>
      </w:r>
      <w:r>
        <w:rPr>
          <w:rFonts w:ascii="Arial" w:hAnsi="Arial"/>
          <w:sz w:val="23"/>
        </w:rPr>
        <w:t>Conforme justificado na Seção 3.2.1, delimitou-se o horizonte histórico a partir de março de 2012. Essa redução amostral intencional eliminou as quebras estruturais severas causadas pela transição metodológica da antiga Pesquisa Mensal de Emprego (PME) para a PNAD Contínua em escala nacional e pela reformulação dos pesos de consumo da POF 2008-2009 na composição do IPCA. Ao descartar observações anteriores geradas sob regimes estatísticos distintos, garantiu-se um painel equilibrado, contemporâneo e perfeitamente balanceado até 2026.</w:t>
      </w:r>
    </w:p>
    <w:p>
      <w:pPr>
        <w:spacing w:before="40" w:after="120" w:line="276" w:lineRule="auto"/>
        <w:jc w:val="both"/>
      </w:pPr>
      <w:r>
        <w:rPr>
          <w:rFonts w:ascii="Arial" w:hAnsi="Arial"/>
          <w:b/>
          <w:sz w:val="23"/>
        </w:rPr>
        <w:t xml:space="preserve">2. Seleção de Atributos por Meta-heurísticas Bioinspiradas (GA e PSO): </w:t>
      </w:r>
      <w:r>
        <w:rPr>
          <w:rFonts w:ascii="Arial" w:hAnsi="Arial"/>
          <w:sz w:val="23"/>
        </w:rPr>
        <w:t>Partindo do conjunto de 27 covariáveis exógenas candidatas, o projeto empregou Algoritmos Genéticos (GA) e Otimização por Enxame de Partículas (PSO) para identificar os subconjuntos mais parcimoniosos e informativos para cada família de modelo. Os algoritmos exploraram o espaço combinatório e reduziram o espaço de entrada para subconjuntos de apenas 5 variáveis-chave. No modelo campeão do estudo (o híbrido ARIMAX + Random Forest), o PSO selecionou o conjunto ótimo composto por: IPCA_Transportes, IGP_DI, Produção_Derivados_Petróleo, Consumo_Gasolina e Estoque_Empregos_Formais_Total. Essa redução superior a 80% na dimensionalidade eliminou ruídos espúrios e garantiu a menor margem de erro preditivo de toda a pesquisa (RMSE de 0,1046 e MAE de 0,0850).</w:t>
      </w:r>
    </w:p>
    <w:p>
      <w:pPr>
        <w:spacing w:before="220" w:after="80" w:line="276" w:lineRule="auto"/>
        <w:jc w:val="left"/>
      </w:pPr>
      <w:r>
        <w:rPr>
          <w:rFonts w:ascii="Arial" w:hAnsi="Arial"/>
          <w:b/>
          <w:sz w:val="23"/>
        </w:rPr>
        <w:t>3.4.3 Transformação de Dados e Engenharia de Atributos (Data Transformation)</w:t>
      </w:r>
    </w:p>
    <w:p>
      <w:pPr>
        <w:spacing w:before="40" w:after="100" w:line="276" w:lineRule="auto"/>
        <w:jc w:val="both"/>
      </w:pPr>
      <w:r>
        <w:rPr>
          <w:rFonts w:ascii="Arial" w:hAnsi="Arial"/>
          <w:sz w:val="23"/>
        </w:rPr>
        <w:t>A etapa de transformação adequou as propriedades matemáticas das séries temporais às exigências dos modelos estocásticos e algoritmos de aprendizado computacional:</w:t>
      </w:r>
    </w:p>
    <w:p>
      <w:pPr>
        <w:spacing w:before="40" w:after="100" w:line="276" w:lineRule="auto"/>
        <w:jc w:val="both"/>
      </w:pPr>
      <w:r>
        <w:rPr>
          <w:rFonts w:ascii="Arial" w:hAnsi="Arial"/>
          <w:b/>
          <w:sz w:val="23"/>
        </w:rPr>
        <w:t xml:space="preserve">1. Estruturação de Matrizes e Particionamento Temporal Cronológico 80/20 (Walk-Forward): </w:t>
      </w:r>
      <w:r>
        <w:rPr>
          <w:rFonts w:ascii="Arial" w:hAnsi="Arial"/>
          <w:sz w:val="23"/>
        </w:rPr>
        <w:t>Os dados foram organizados formalmente na variável dependente alvo y_t (o IPCA mensal a ser previsto) e na matriz de atributos preditivos X_t (as variáveis exógenas selecionadas). Para emular um ambiente operacional de previsão econômica sem antecipação de dados futuros, a base tratada foi dividida na proporção de 80% para treinamento e 20% para teste e validação de forma estritamente sequencial e cronológica (shuffle=False). Essa divisão sustenta o esquema de avaliação walk-forward (previsões dinâmicas de 1 passo à frente utilizando exclusivamente o histórico acumulado até o mês imediatamente anterior).</w:t>
      </w:r>
    </w:p>
    <w:p>
      <w:pPr>
        <w:spacing w:before="40" w:after="100" w:line="276" w:lineRule="auto"/>
        <w:jc w:val="both"/>
      </w:pPr>
      <w:r>
        <w:rPr>
          <w:rFonts w:ascii="Arial" w:hAnsi="Arial"/>
          <w:b/>
          <w:sz w:val="23"/>
        </w:rPr>
        <w:t xml:space="preserve">2. Teste de Raiz Unitária e Estacionarização Automática (make_stationary): </w:t>
      </w:r>
      <w:r>
        <w:rPr>
          <w:rFonts w:ascii="Arial" w:hAnsi="Arial"/>
          <w:sz w:val="23"/>
        </w:rPr>
        <w:t>Modelos estocásticos lineares da família ARIMA e ARIMAX pressupõem que as séries apresentem estacionariedade (média e variância constantes no tempo). Para garantir essa condição de forma padronizada, implementou-se a rotina make_stationary, fundamentada no teste Augmented Dickey-Fuller (ADF) a 5% de significância (p &lt; 0,05). O teste confirmou que o IPCA mensal (p = 0,0002) e os subíndices setoriais de inflação (como Transportes, Habitação, IGP-M, INPC, IPC-BR e a taxa Selic) já são estacionários em nível (I(0)). Por outro lado, as variáveis exógenas de nível com tendência estocástica e raiz unitária (como o câmbio USDBRL, PIB Mensal e séries de combustíveis) foram submetidas à primeira diferenciação sucessiva (ΔX_t = X_t - X_{t-1}), tornando-se plenamente estacionárias (p &lt; 0,001) e eliminando riscos de regressão espúria.</w:t>
      </w:r>
    </w:p>
    <w:p>
      <w:pPr>
        <w:spacing w:before="40" w:after="100" w:line="276" w:lineRule="auto"/>
        <w:jc w:val="both"/>
      </w:pPr>
      <w:r>
        <w:rPr>
          <w:rFonts w:ascii="Arial" w:hAnsi="Arial"/>
          <w:b/>
          <w:sz w:val="23"/>
        </w:rPr>
        <w:t xml:space="preserve">3. Engenharia de Defasagens Temporais (Lags): </w:t>
      </w:r>
      <w:r>
        <w:rPr>
          <w:rFonts w:ascii="Arial" w:hAnsi="Arial"/>
          <w:sz w:val="23"/>
        </w:rPr>
        <w:t>Na dinâmica macroeconômica, as decisões de política monetária (Taxa Selic) e os choques cambiais operam com defasagens temporais distribuídas de 6 a 12 meses até atingirem os preços ao consumidor final. Para capacitar os regressores a apreenderem esses canais de transmissão defasados, construíram-se defasagens temporais autoregressivas (lags de 1 a 3 meses) nas principais séries preditivas.</w:t>
      </w:r>
    </w:p>
    <w:p>
      <w:pPr>
        <w:spacing w:before="40" w:after="120" w:line="276" w:lineRule="auto"/>
        <w:jc w:val="both"/>
      </w:pPr>
      <w:r>
        <w:rPr>
          <w:rFonts w:ascii="Arial" w:hAnsi="Arial"/>
          <w:b/>
          <w:sz w:val="23"/>
        </w:rPr>
        <w:t xml:space="preserve">4. Padronização de Escalas via StandardScaler: </w:t>
      </w:r>
      <w:r>
        <w:rPr>
          <w:rFonts w:ascii="Arial" w:hAnsi="Arial"/>
          <w:sz w:val="23"/>
        </w:rPr>
        <w:t>Algoritmos de aprendizado de máquina (como Lasso, Random Forest e Redes Neurais) são altamente sensíveis à escala numérica dos atributos. Sem normalização, variáveis medidas na casa dos bilhões de reais (como o PIB) dominariam os gradientes de otimização em detrimento de variações percentuais decimais (como o IPCA e a Selic). Para equalizar a influência numérica de todas as séries, aplicou-se a padronização Z-Score (z = (x - μ) / σ). A média (μ) e o desvio padrão (σ) foram calculados estritamente sobre a partição de treinamento e replicados sobre o conjunto de teste, blindando a avaliação contra qualquer vazamento prospectivo.</w:t>
      </w:r>
    </w:p>
    <w:p>
      <w:pPr>
        <w:spacing w:before="220" w:after="80" w:line="276" w:lineRule="auto"/>
        <w:jc w:val="left"/>
      </w:pPr>
      <w:r>
        <w:rPr>
          <w:rFonts w:ascii="Arial" w:hAnsi="Arial"/>
          <w:b/>
          <w:sz w:val="23"/>
        </w:rPr>
        <w:t>3.4.4 Dicionário de Dados Final do Projeto</w:t>
      </w:r>
    </w:p>
    <w:p>
      <w:pPr>
        <w:spacing w:before="40" w:after="120" w:line="276" w:lineRule="auto"/>
        <w:jc w:val="both"/>
      </w:pPr>
      <w:r>
        <w:rPr>
          <w:rFonts w:ascii="Arial" w:hAnsi="Arial"/>
          <w:sz w:val="23"/>
        </w:rPr>
        <w:t>Como síntese consolidada de todas as etapas de limpeza, tratamento de inconsistências, estacionarização e seleção bioinspirada de atributos, estruturou-se o Dicionário de Dados Final apresentado na Tabela 1. A tabela relaciona cada uma das 28 variáveis utilizadas na modelagem (a variável dependente IPCA mais as 27 variáveis exógenas tratadas), detalhando o código identificador no SGS/BACEN, tipo computacional, transformação matemática executada, resultado formal do teste ADF de estacionariedade, inclusão nos subconjuntos ótimos de seleção (GA/PSO) e a respectiva função econômica dentro dos modelos preditivos.</w:t>
      </w:r>
    </w:p>
    <w:p>
      <w:pPr>
        <w:spacing w:before="200" w:after="80" w:line="276" w:lineRule="auto"/>
        <w:jc w:val="center"/>
      </w:pPr>
      <w:r/>
      <w:r>
        <w:rPr>
          <w:rFonts w:ascii="Arial" w:hAnsi="Arial"/>
          <w:b/>
          <w:sz w:val="21"/>
        </w:rPr>
        <w:t>Tabela 1 – Dicionário de Dados Final e Especificação das Variáveis Pré-Processadas</w:t>
      </w:r>
    </w:p>
    <w:tbl>
      <w:tblPr>
        <w:tblW w:type="auto" w:w="0"/>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728"/>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Atributo Final</w:t>
            </w:r>
          </w:p>
        </w:tc>
        <w:tc>
          <w:tcPr>
            <w:tcW w:type="dxa" w:w="792"/>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Código SGS</w:t>
            </w:r>
          </w:p>
        </w:tc>
        <w:tc>
          <w:tcPr>
            <w:tcW w:type="dxa" w:w="720"/>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Tipo</w:t>
            </w:r>
          </w:p>
        </w:tc>
        <w:tc>
          <w:tcPr>
            <w:tcW w:type="dxa" w:w="1656"/>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Transformação</w:t>
            </w:r>
          </w:p>
        </w:tc>
        <w:tc>
          <w:tcPr>
            <w:tcW w:type="dxa" w:w="1296"/>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Estacionariedade (ADF)</w:t>
            </w:r>
          </w:p>
        </w:tc>
        <w:tc>
          <w:tcPr>
            <w:tcW w:type="dxa" w:w="1584"/>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Seleção / Subconjunto</w:t>
            </w:r>
          </w:p>
        </w:tc>
        <w:tc>
          <w:tcPr>
            <w:tcW w:type="dxa" w:w="2304"/>
            <w:tcMar>
              <w:top w:w="65" w:type="dxa"/>
              <w:bottom w:w="65" w:type="dxa"/>
              <w:left w:w="65" w:type="dxa"/>
              <w:right w:w="65" w:type="dxa"/>
            </w:tcMar>
            <w:shd w:fill="EAECEF"/>
            <w:tcBorders>
              <w:top w:val="single" w:sz="4" w:space="0" w:color="999999"/>
              <w:left w:val="single" w:sz="4" w:space="0" w:color="D0D5DD"/>
              <w:bottom w:val="single" w:sz="4" w:space="0" w:color="999999"/>
              <w:right w:val="single" w:sz="4" w:space="0" w:color="D0D5DD"/>
            </w:tcBorders>
            <w:vAlign w:val="center"/>
          </w:tcPr>
          <w:p>
            <w:pPr>
              <w:spacing w:line="240" w:lineRule="auto"/>
              <w:jc w:val="center"/>
            </w:pPr>
            <w:r>
              <w:rPr>
                <w:rFonts w:ascii="Arial" w:hAnsi="Arial"/>
                <w:b/>
                <w:sz w:val="17"/>
              </w:rPr>
              <w:t>Papel no Modelo</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b/>
                <w:sz w:val="16"/>
              </w:rPr>
              <w:t>IPCA</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4447</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Nível Original (% a.m.)</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0,0002</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Todas as Configurações</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b/>
                <w:sz w:val="16"/>
              </w:rPr>
              <w:t>Variável Alvo (y) - Inflação oficial sob regime de metas do Banco Central.</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d_IPCA_Transportes</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1639</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(ARIMAX+RF) / Base Geral</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Choques de preços de combustíveis e tarifas de transporte.</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d_IPCA_Alimentação_bebidas</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1635</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(Lasso) / GA (ARIMAX)</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Choques de clima e safras na alimentação doméstica.</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d_INPC_Habitação</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1636</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(Lasso) / GA (RNA)</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Custos de aluguel e energia elétrica residencial.</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d_IPCA_Saúde_cuidados_pessoais</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1641</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GA (ARIMAX+RF) / PSO (Lasso)</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Reajustes de medicamentos e planos de saúde.</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d_IPCA_Vestuário</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1638</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0,0236</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GA (ARIMAX+RF, ARIMAX)</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Efeitos sazonais de liquidações e trocas de coleção.</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d_IPCA_Educação</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1643</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Reajustes concentrados de mensalidades escolares (fevereiro).</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d_IPCA_Despesas_Pessoais</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1642</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GA (ARIMAX, RNA) / PSO</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Pressão de demanda em serviços pessoais e recreação.</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d_USDBRL</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3696</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 (Δ) / Escalonado</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 Lasso) / GA</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Variação do câmbio e repasse aos produtos importados.</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SELIC</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4390</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Nível Original (% a.m.)</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0,0462</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Taxa básica de juros definida pelo COPOM.</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d_Reservas_Internacionais</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3546</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Reserva em dólares para absorver choques internacionais.</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INPC</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188</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Nível Original (% a.m.)</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 / Base Geral</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Inflação sentida por famílias de menor renda (1 a 5 salários).</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IGP_M</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189</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Nível Original (% a.m.)</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Preços no atacado e contratos de aluguel (FGV).</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IGP_DI</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190</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Nível Original (% a.m.)</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0,0104</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(ARIMAX+RF)</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Indicador de preços e custos industriais internos (FGV).</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IPC_BR</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191</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Nível Original (% a.m.)</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 / GA</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Preços ao consumidor apurados pela FGV.</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d_PIB_Mensal</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4380</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 / StandardScaler</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0,0753</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(Random Forest)</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Ritmo de crescimento da economia e nível de atividade.</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d2_Desemprego</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24369</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2ª Diferença (Δ²)</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0,05</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Aceleração da desocupação civil (relação de Phillips).</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d_SalMinimo</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1619</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Variação Nominal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0,05</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(Random Forest)</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Reajustes federais do piso salarial e custos em serviços.</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d_Estoque_Empregos_Total</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28763</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 Saldo)</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0,05</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(ARIMAX+RF) / GA</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Saldo mensal líquido de empregos com carteira assinada (CAGED).</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d_Estoque_Agropecuária</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28764</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 Saldo)</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0,05</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(Random Forest)</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Contratações formais no campo e colheitas agrícolas.</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Estoque_Construção</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28770</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Variação em Nível</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0,0374</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(Random Forest)</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Ritmo de atividade e emprego na construção civil.</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d_QteOvos</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1310</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0,05</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Produção física avícola como termômetro da oferta de alimentos.</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d_Produção_Derivados_Petróleo</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1391</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(ARIMAX+RF, RF)</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Volume físico de refino de petróleo e oferta de combustíveis.</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d_Consumo_Gasolina</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1393</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0,0198</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PSO (ARIMAX+RF)</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Consumo real de gasolina e pressão sobre transportes.</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d_Consumo_Óleo_Combustível</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1395</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&lt; 0,0001</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Uso de óleo combustível no transporte de cargas pesadas.</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d_Consumo_Energia_Comercial</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1402</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0,0016</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GA (ARIMAX+RF) / PSO</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Consumo elétrico do comércio (termômetro das vendas).</w:t>
            </w:r>
          </w:p>
        </w:tc>
      </w:tr>
      <w:tr>
        <w:trPr>
          <w:cantSplit/>
        </w:trPr>
        <w:tc>
          <w:tcPr>
            <w:tcW w:type="dxa" w:w="1728"/>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d_Consumo_Energia_Residencial</w:t>
            </w:r>
          </w:p>
        </w:tc>
        <w:tc>
          <w:tcPr>
            <w:tcW w:type="dxa" w:w="792"/>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1403</w:t>
            </w:r>
          </w:p>
        </w:tc>
        <w:tc>
          <w:tcPr>
            <w:tcW w:type="dxa" w:w="720"/>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0,0544</w:t>
            </w:r>
          </w:p>
        </w:tc>
        <w:tc>
          <w:tcPr>
            <w:tcW w:type="dxa" w:w="158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FFFFF"/>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Consumo de energia elétrica nas residências.</w:t>
            </w:r>
          </w:p>
        </w:tc>
      </w:tr>
      <w:tr>
        <w:trPr>
          <w:cantSplit/>
        </w:trPr>
        <w:tc>
          <w:tcPr>
            <w:tcW w:type="dxa" w:w="1728"/>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d_Consumo_Energia_Total</w:t>
            </w:r>
          </w:p>
        </w:tc>
        <w:tc>
          <w:tcPr>
            <w:tcW w:type="dxa" w:w="792"/>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1406</w:t>
            </w:r>
          </w:p>
        </w:tc>
        <w:tc>
          <w:tcPr>
            <w:tcW w:type="dxa" w:w="720"/>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Float64</w:t>
            </w:r>
          </w:p>
        </w:tc>
        <w:tc>
          <w:tcPr>
            <w:tcW w:type="dxa" w:w="165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1ª Diferença (Δ)</w:t>
            </w:r>
          </w:p>
        </w:tc>
        <w:tc>
          <w:tcPr>
            <w:tcW w:type="dxa" w:w="1296"/>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center"/>
            </w:pPr>
            <w:r>
              <w:rPr>
                <w:rFonts w:ascii="Arial" w:hAnsi="Arial"/>
                <w:sz w:val="16"/>
              </w:rPr>
              <w:t>I(0) | p = 0,0106</w:t>
            </w:r>
          </w:p>
        </w:tc>
        <w:tc>
          <w:tcPr>
            <w:tcW w:type="dxa" w:w="158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Base Geral</w:t>
            </w:r>
          </w:p>
        </w:tc>
        <w:tc>
          <w:tcPr>
            <w:tcW w:type="dxa" w:w="2304"/>
            <w:tcMar>
              <w:top w:w="45" w:type="dxa"/>
              <w:bottom w:w="45" w:type="dxa"/>
              <w:left w:w="55" w:type="dxa"/>
              <w:right w:w="55" w:type="dxa"/>
            </w:tcMar>
            <w:shd w:fill="FAFAFA"/>
            <w:tcBorders>
              <w:top w:val="single" w:sz="4" w:space="0" w:color="E2E8F0"/>
              <w:left w:val="single" w:sz="4" w:space="0" w:color="E2E8F0"/>
              <w:bottom w:val="single" w:sz="4" w:space="0" w:color="E2E8F0"/>
              <w:right w:val="single" w:sz="4" w:space="0" w:color="E2E8F0"/>
            </w:tcBorders>
            <w:vAlign w:val="center"/>
          </w:tcPr>
          <w:p>
            <w:pPr>
              <w:spacing w:line="240" w:lineRule="auto"/>
              <w:jc w:val="left"/>
            </w:pPr>
            <w:r>
              <w:rPr>
                <w:rFonts w:ascii="Arial" w:hAnsi="Arial"/>
                <w:sz w:val="16"/>
              </w:rPr>
              <w:t>Variável Exógena - Demanda total de energia elétrica em todo o país.</w:t>
            </w:r>
          </w:p>
        </w:tc>
      </w:tr>
    </w:tbl>
    <w:p>
      <w:pPr>
        <w:spacing w:before="60" w:after="200" w:line="276" w:lineRule="auto"/>
        <w:jc w:val="center"/>
      </w:pPr>
      <w:r>
        <w:rPr>
          <w:rFonts w:ascii="Arial" w:hAnsi="Arial"/>
          <w:i/>
          <w:sz w:val="19"/>
        </w:rPr>
        <w:t>Fonte: Autores, a partir do pipeline de pré-processamento executado sobre dados do SGS/BACEN (2026).</w:t>
      </w:r>
    </w:p>
    <w:p>
      <w:pPr>
        <w:spacing w:before="0" w:after="120" w:line="276" w:lineRule="auto"/>
        <w:jc w:val="both"/>
      </w:pPr>
      <w:r>
        <w:rPr>
          <w:rFonts w:ascii="Arial" w:hAnsi="Arial"/>
          <w:sz w:val="23"/>
        </w:rPr>
        <w:t>Com a consolidação deste dicionário de dados final, encerra-se a fase de preparação dos dados. Todas as variáveis estão integradas, limpas, estacionárias e devidamente selecionadas, constituindo o alicerce analítico para a calibração dos modelos preditivos clássicos e híbridos.</w:t>
      </w:r>
    </w:p>
    <w:p>
      <w:pPr>
        <w:spacing w:before="320" w:after="120" w:line="276" w:lineRule="auto"/>
        <w:jc w:val="left"/>
      </w:pPr>
      <w:r>
        <w:rPr>
          <w:rFonts w:ascii="Arial" w:hAnsi="Arial"/>
          <w:b/>
          <w:sz w:val="26"/>
        </w:rPr>
        <w:t>Referências Bibliográficas</w:t>
      </w:r>
    </w:p>
    <w:p>
      <w:pPr>
        <w:spacing w:before="0" w:after="80" w:line="276" w:lineRule="auto"/>
        <w:jc w:val="both"/>
      </w:pPr>
      <w:r>
        <w:rPr>
          <w:rFonts w:ascii="Arial" w:hAnsi="Arial"/>
          <w:sz w:val="21"/>
        </w:rPr>
        <w:t>[1] N. G. Mankiw, Princípios de Macroeconomia, 9th ed. São Paulo: Cengage Learning, 2021.</w:t>
      </w:r>
    </w:p>
    <w:p>
      <w:pPr>
        <w:spacing w:before="0" w:after="80" w:line="276" w:lineRule="auto"/>
        <w:jc w:val="both"/>
      </w:pPr>
      <w:r>
        <w:rPr>
          <w:rFonts w:ascii="Arial" w:hAnsi="Arial"/>
          <w:sz w:val="21"/>
        </w:rPr>
        <w:t>[2] K. Miałkowska, B. Nosarzewski, and R. Kustra, "Feature Selection for financial data – comparison of techniques," Procedia Computer Science, vol. 192, pp. 2688–2697, 2022.</w:t>
      </w:r>
    </w:p>
    <w:p>
      <w:pPr>
        <w:spacing w:before="0" w:after="80" w:line="276" w:lineRule="auto"/>
        <w:jc w:val="both"/>
      </w:pPr>
      <w:r>
        <w:rPr>
          <w:rFonts w:ascii="Arial" w:hAnsi="Arial"/>
          <w:sz w:val="21"/>
        </w:rPr>
        <w:t>[3] G. P. Zhang, "Time series forecasting using a hybrid ARIMA and neural network model," Neurocomputing, vol. 50, pp. 159–175, 2003.</w:t>
      </w:r>
    </w:p>
    <w:p>
      <w:pPr>
        <w:spacing w:before="0" w:after="80" w:line="276" w:lineRule="auto"/>
        <w:jc w:val="both"/>
      </w:pPr>
      <w:r>
        <w:rPr>
          <w:rFonts w:ascii="Arial" w:hAnsi="Arial"/>
          <w:sz w:val="21"/>
        </w:rPr>
        <w:t>[4] O. Blanchard, Macroeconomics, 8th ed. Pearson, 2021.</w:t>
      </w:r>
    </w:p>
    <w:p>
      <w:pPr>
        <w:spacing w:before="0" w:after="80" w:line="276" w:lineRule="auto"/>
        <w:jc w:val="both"/>
      </w:pPr>
      <w:r>
        <w:rPr>
          <w:rFonts w:ascii="Arial" w:hAnsi="Arial"/>
          <w:sz w:val="21"/>
        </w:rPr>
        <w:t>[5] A. W. Phillips, "The Relation between Unemployment and the Rate of Change of Money Wage Rates in the United Kingdom, 1861-1957," Economica, vol. 25, no. 100, pp. 283–299, 1958.</w:t>
      </w:r>
    </w:p>
    <w:p>
      <w:pPr>
        <w:spacing w:before="0" w:after="80" w:line="276" w:lineRule="auto"/>
        <w:jc w:val="both"/>
      </w:pPr>
      <w:r>
        <w:rPr>
          <w:rFonts w:ascii="Arial" w:hAnsi="Arial"/>
          <w:sz w:val="21"/>
        </w:rPr>
        <w:t>[6] J. H. Stock and M. W. Watson, "Why Has U.S. Inflation Become Harder to Forecast?," Journal of Money, Credit and Banking, vol. 39, no. s1, pp. 3–33, 2007.</w:t>
      </w:r>
    </w:p>
    <w:p>
      <w:pPr>
        <w:spacing w:before="0" w:after="80" w:line="276" w:lineRule="auto"/>
        <w:jc w:val="both"/>
      </w:pPr>
      <w:r>
        <w:rPr>
          <w:rFonts w:ascii="Arial" w:hAnsi="Arial"/>
          <w:sz w:val="21"/>
        </w:rPr>
        <w:t>[7] M. Friedman, "The Role of Monetary Policy," The American Economic Review, vol. 58, no. 1, pp. 1–17, 1968.</w:t>
      </w:r>
    </w:p>
    <w:p>
      <w:pPr>
        <w:spacing w:before="0" w:after="80" w:line="276" w:lineRule="auto"/>
        <w:jc w:val="both"/>
      </w:pPr>
      <w:r>
        <w:rPr>
          <w:rFonts w:ascii="Arial" w:hAnsi="Arial"/>
          <w:sz w:val="21"/>
        </w:rPr>
        <w:t>[8] W. Fan et al., "Feature Selection for Time Series Modeling," arXiv / ResearchGate, 2022.</w:t>
      </w:r>
    </w:p>
    <w:p>
      <w:pPr>
        <w:spacing w:before="0" w:after="80" w:line="276" w:lineRule="auto"/>
        <w:jc w:val="both"/>
      </w:pPr>
      <w:r>
        <w:rPr>
          <w:rFonts w:ascii="Arial" w:hAnsi="Arial"/>
          <w:sz w:val="21"/>
        </w:rPr>
        <w:t>[9] I. Al-Dmour et al., "Bio-inspired algorithms for feature selection: A comprehensive survey," Applied Soft Computing, vol. 136, p. 110078, 2023.</w:t>
      </w:r>
    </w:p>
    <w:p>
      <w:pPr>
        <w:spacing w:before="0" w:after="80" w:line="276" w:lineRule="auto"/>
        <w:jc w:val="both"/>
      </w:pPr>
      <w:r>
        <w:rPr>
          <w:rFonts w:ascii="Arial" w:hAnsi="Arial"/>
          <w:sz w:val="21"/>
        </w:rPr>
        <w:t>[10] O. Oladele, "Hybrid Models Combining Time Series Analysis and Machine Learning for Market Forecasting," Journal of Financial Data Science, 2023.</w:t>
      </w:r>
    </w:p>
    <w:p>
      <w:pPr>
        <w:spacing w:before="0" w:after="80" w:line="276" w:lineRule="auto"/>
        <w:jc w:val="both"/>
      </w:pPr>
      <w:r>
        <w:rPr>
          <w:rFonts w:ascii="Arial" w:hAnsi="Arial"/>
          <w:sz w:val="21"/>
        </w:rPr>
        <w:t>[11] S. F. Khashei et al., "Which Methodology is Better for Combining Linear and Nonlinear Models for Time Series Forecasting?," Intelligent Data Analysis, vol. 26, no. 4, pp. 935–952, 2022.</w:t>
      </w:r>
    </w:p>
    <w:p>
      <w:pPr>
        <w:spacing w:before="0" w:after="80" w:line="276" w:lineRule="auto"/>
        <w:jc w:val="both"/>
      </w:pPr>
      <w:r>
        <w:rPr>
          <w:rFonts w:ascii="Arial" w:hAnsi="Arial"/>
          <w:sz w:val="21"/>
        </w:rPr>
        <w:t>[12] C. A. Brandão et al., "Benchmarking Biologically-Inspired Automatic Machine Learning for Economic Time Series," Expert Systems with Applications, vol. 215, p. 119348,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