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sz w:val="20"/>
        </w:rPr>
        <w:t>FACULDADE POLI-UPE | ESCOLA POLITÉCNICA DE PERNAMBUCO</w:t>
      </w:r>
    </w:p>
    <w:p>
      <w:pPr>
        <w:spacing w:before="0" w:after="280" w:line="276" w:lineRule="auto"/>
        <w:jc w:val="center"/>
      </w:pPr>
      <w:r>
        <w:rPr>
          <w:rFonts w:ascii="Arial" w:hAnsi="Arial"/>
          <w:sz w:val="20"/>
        </w:rPr>
        <w:t>DISCIPLINA: MINERAÇÃO DE DADOS</w:t>
      </w:r>
    </w:p>
    <w:p>
      <w:pPr>
        <w:spacing w:before="0" w:after="160" w:line="276" w:lineRule="auto"/>
        <w:jc w:val="center"/>
      </w:pPr>
      <w:r>
        <w:rPr>
          <w:rFonts w:ascii="Arial" w:hAnsi="Arial"/>
          <w:b/>
          <w:sz w:val="30"/>
        </w:rPr>
        <w:t>Previsão da Inflação Brasileira (IPCA) por Mineração de Séries Temporais: Uma Abordagem Comparativa entre Modelos Univariados e Multivariados Híbridos</w:t>
      </w:r>
    </w:p>
    <w:p>
      <w:pPr>
        <w:spacing w:before="0" w:after="320" w:line="276" w:lineRule="auto"/>
        <w:jc w:val="center"/>
      </w:pPr>
      <w:r>
        <w:rPr>
          <w:rFonts w:ascii="Arial" w:hAnsi="Arial"/>
          <w:sz w:val="21"/>
        </w:rPr>
        <w:t>Bruno Protásio | Equipe de Pesquisa em Engenharia e Ciência de Dados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sz w:val="26"/>
        </w:rPr>
        <w:t>1. Introdução do Projeto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sz w:val="23"/>
        </w:rPr>
        <w:t xml:space="preserve">Tema Central: </w:t>
      </w:r>
      <w:r>
        <w:rPr>
          <w:rFonts w:ascii="Arial" w:hAnsi="Arial"/>
          <w:sz w:val="23"/>
        </w:rPr>
        <w:t>Este projeto investiga a capacidade de previsão da inflação brasileira (IPCA) utilizando técnicas de mineração de séries temporais. Confrontamos duas estratégias: a abordagem univariada (que prevê o IPCA baseando-se apenas em seu próprio histórico) e a abordagem multivariada (que combina o histórico da inflação a variáveis macroeconômicas externas, como taxa Selic, câmbio, atividade econômica, emprego e combustíveis). Nosso objetivo é responder se a inclusão de dados externos traz ganho real de acurácia e quais indicadores econômicos são mais determinantes para antecipar a trajetória dos preços no Brasil.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estabilidade de preços é essencial para a economia brasileira. A inflação corrói a renda das famílias, eleva os custos operacionais das empresas e aumenta as incertezas financeiras do país. O Índice Nacional de Preços ao Consumidor Amplo (IPCA), calculado mensalmente pelo IBGE, é o balizador oficial do regime de metas de inflação do Banco Central do Brasil. Por essa razão, antecipar o comportamento desse índice com precisão é uma necessidade crítica para a formulação de políticas públicas e para o planejamento financeiro corporativo.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1.1 Contextualização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No regime de metas de inflação, o Banco Central utiliza a taxa básica de juros (Selic) para conter pressões de preços. Como as decisões de juros levam entre 6 e 12 meses para surtir efeito pleno na economia, ter projeções de inflação confiáveis e tempestivas é pré-requisito fundamental para decisões assertivas.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A relevância da previsão da inflação sob a ótica da Mineração de Dados desdobra-se em três pilares práticos: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• Setor Público e Regulatório: </w:t>
      </w:r>
      <w:r>
        <w:rPr>
          <w:rFonts w:ascii="Arial" w:hAnsi="Arial"/>
          <w:sz w:val="23"/>
        </w:rPr>
        <w:t>Permite ancorar expectativas de mercado e avaliar o cumprimento das metas oficiais do Conselho Monetário Nacional (CMN);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• Empresas e Mercado Financeiro: </w:t>
      </w:r>
      <w:r>
        <w:rPr>
          <w:rFonts w:ascii="Arial" w:hAnsi="Arial"/>
          <w:sz w:val="23"/>
        </w:rPr>
        <w:t>Suporta a precificação de contratos de longo prazo, a gestão de estoques, orçamentos corporativos e ativos atrelados à inflação (como NTN-B e debêntures);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sz w:val="23"/>
        </w:rPr>
        <w:t xml:space="preserve">• Pesquisa e Ciência de Dados: </w:t>
      </w:r>
      <w:r>
        <w:rPr>
          <w:rFonts w:ascii="Arial" w:hAnsi="Arial"/>
          <w:sz w:val="23"/>
        </w:rPr>
        <w:t>Oferece um ambiente real e rigoroso para testar se modelos complexos de aprendizado de máquina compensam o aumento da dimensionalidade frente a modelos temporais parcimoniosos.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1.2 Descrição do Problema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A previsão da inflação enfrenta um dilema clássico de mineração de dados: avaliar se os preços são guiados principalmente por sua própria inércia temporal ou se a inclusão de fatores externos traz sinais antecipados cruciais: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Abordagem Univariada (Apenas Histórico): </w:t>
      </w:r>
      <w:r>
        <w:rPr>
          <w:rFonts w:ascii="Arial" w:hAnsi="Arial"/>
          <w:sz w:val="23"/>
        </w:rPr>
        <w:t>Explica o IPCA unicamente por defasagens passadas e sazonalidade, partindo da premissa de que o histórico recente sintetiza as informações mais relevantes.</w:t>
      </w:r>
    </w:p>
    <w:p>
      <w:pPr>
        <w:spacing w:before="0" w:after="80" w:line="276" w:lineRule="auto"/>
        <w:jc w:val="both"/>
      </w:pPr>
      <w:r>
        <w:rPr>
          <w:rFonts w:ascii="Arial" w:hAnsi="Arial"/>
          <w:b/>
          <w:sz w:val="23"/>
        </w:rPr>
        <w:t xml:space="preserve">2. Abordagem Multivariada (Histórico + Fatores Externos): </w:t>
      </w:r>
      <w:r>
        <w:rPr>
          <w:rFonts w:ascii="Arial" w:hAnsi="Arial"/>
          <w:sz w:val="23"/>
        </w:rPr>
        <w:t>Combina a inércia temporal a múltiplos indicadores macroeconômicos de preços setoriais, moeda, câmbio, emprego e energia.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Contudo, adicionar variáveis em excesso pode introduzir ruído e multicolinearidade, prejudicando os modelos. Por isso, a investigação deve responder não só se a abordagem multivariada é superior, mas quais grupos de variáveis realmente agregam valor preditivo.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Pergunta Central de Pesquisa: </w:t>
      </w:r>
      <w:r>
        <w:rPr>
          <w:rFonts w:ascii="Arial" w:hAnsi="Arial"/>
          <w:sz w:val="23"/>
        </w:rPr>
        <w:t>"A utilização de variáveis macroeconômicas exógenas melhora a acurácia da previsão do IPCA em relação a modelos puramente univariados? Quais grupos de indicadores possuem maior capacidade de antecipar a inflação brasileira?"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1.3 Objetivos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3"/>
        </w:rPr>
        <w:t>1.3.1 Objetivo Geral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Desenvolver, comparar e validar modelos preditivos de mineração de dados em séries temporais para a previsão do IPCA brasileiro, confrontando o desempenho das abordagens univariada e multivariada e identificando os atributos macroeconômicos mais relevantes.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3"/>
        </w:rPr>
        <w:t>1.3.2 Objetivos Específicos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Engenharia de Dados: </w:t>
      </w:r>
      <w:r>
        <w:rPr>
          <w:rFonts w:ascii="Arial" w:hAnsi="Arial"/>
          <w:sz w:val="23"/>
        </w:rPr>
        <w:t>Coletar, higienizar e consolidar a série histórica mensal do IPCA e de 28 variáveis exógenas de março de 2012 a agosto de 2026 via API oficial do SGS/Banco Central;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2. Categorização Setorial: </w:t>
      </w:r>
      <w:r>
        <w:rPr>
          <w:rFonts w:ascii="Arial" w:hAnsi="Arial"/>
          <w:sz w:val="23"/>
        </w:rPr>
        <w:t>Agrupar as variáveis exógenas em quatro dimensões macroeconômicas: Índices de Preços, Setor Financeiro/Câmbio, Atividade/Emprego e Energia/Combustíveis;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3. Modelagem de Referência (Baseline): </w:t>
      </w:r>
      <w:r>
        <w:rPr>
          <w:rFonts w:ascii="Arial" w:hAnsi="Arial"/>
          <w:sz w:val="23"/>
        </w:rPr>
        <w:t>Calibrar modelos univariados clássicos (ARIMA) para estabelecer a base mínima de comparação;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4. Modelagem Multivariada e Híbrida: </w:t>
      </w:r>
      <w:r>
        <w:rPr>
          <w:rFonts w:ascii="Arial" w:hAnsi="Arial"/>
          <w:sz w:val="23"/>
        </w:rPr>
        <w:t>Implementar modelos lineares (ARIMAX, Lasso) e arquiteturas híbridas (ARIMAX + Random Forest) que modelam conjuntamente a tendência linear e os resíduos não lineares;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5. Seleção Inteligente de Atributos: </w:t>
      </w:r>
      <w:r>
        <w:rPr>
          <w:rFonts w:ascii="Arial" w:hAnsi="Arial"/>
          <w:sz w:val="23"/>
        </w:rPr>
        <w:t>Aplicar meta-heurísticas bioinspiradas (Algoritmo Genético - GA e Otimização por Enxame de Partículas - PSO) para encontrar os subconjuntos ótimos de variáveis;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6. Validação Temporal Walk-Forward: </w:t>
      </w:r>
      <w:r>
        <w:rPr>
          <w:rFonts w:ascii="Arial" w:hAnsi="Arial"/>
          <w:sz w:val="23"/>
        </w:rPr>
        <w:t>Avaliar as previsões com divisão sequencial 80% treino e 20% teste em horizonte de 1 passo à frente, prevenindo rigorosamente o vazamento de dados futuros (lookahead bias).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1.4 Justificativa e Impacto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Compreender a previsibilidade da inflação contribui diretamente para a redução de riscos econômicos no país. Para os agentes econômicos, antecipar variações nos preços viabiliza decisões financeiras conscientes e reduz custos de incerteza. Para a ciência de dados, este projeto preenche uma lacuna prática ao comparar sistematicamente modelos lineares e não lineares sob rigoroso esquema de validação walk-forward em uma economia emergente caracterizada por volatilidade e choques exógenos frequentes.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1.5 Escopo Negativo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Para manter o foco metodológico, este trabalho delimita claramente o que não faz parte do seu escopo: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• Previsões em Alta Frequência: </w:t>
      </w:r>
      <w:r>
        <w:rPr>
          <w:rFonts w:ascii="Arial" w:hAnsi="Arial"/>
          <w:sz w:val="23"/>
        </w:rPr>
        <w:t>O estudo analisa dados mensais e não desenvolve previsões diárias ou intradiárias de preços;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• Análise Microeconômica Individual: </w:t>
      </w:r>
      <w:r>
        <w:rPr>
          <w:rFonts w:ascii="Arial" w:hAnsi="Arial"/>
          <w:sz w:val="23"/>
        </w:rPr>
        <w:t>Não são avaliadas cestas de consumo de indivíduos ou domicílios específicos;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• Recomendação de Políticas Públicas: </w:t>
      </w:r>
      <w:r>
        <w:rPr>
          <w:rFonts w:ascii="Arial" w:hAnsi="Arial"/>
          <w:sz w:val="23"/>
        </w:rPr>
        <w:t>O objetivo é puramente preditivo e comparativo, sem proposição prescritiva de política monetária.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sz w:val="26"/>
        </w:rPr>
        <w:t>2. Fundamentação Teórica e Trabalhos Relacionados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2.1 Dinâmica Macroeconômica da Inflação no Brasil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dinâmica dos preços no Brasil é orientada por três canais fundamentais: (i) a inércia inflacionária, que propaga variações passadas por contratos indexados; (ii) os choques de oferta e custos, com destaque para a oscilação do dólar (repasse cambial) e cotações de commodities energéticas; e (iii) as pressões de demanda agregada, refletidas no nível de desemprego e na atividade econômica. Essa pluralidade de estímulos justifica testar se conjuntos específicos de variáveis agregam poder preditivo superior ao simples histórico do índice.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2.2 Mineração de Séries Temporais e Seleção de Atributos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Séries temporais econômicas contêm desafios particulares: tendência estocástica, quebras estruturais e relacionamentos lineares e não lineares simultâneos. Além disso, incluir dezenas de covariáveis macroeconômicas pode saturar os modelos (a chamada maldição da dimensionalidade). Por isso, o uso de meta-heurísticas de busca estocástica, como Algoritmos Genéticos (GA) e Enxame de Partículas (PSO), destaca-se na literatura como solução eficiente para identificar subconjuntos de variáveis compactos e preditivos.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2.3 Trabalhos Relacionados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A literatura científica sobre modelagem da inflação organiza-se em três eixos principais: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Modelos Lineares Tradicionais: </w:t>
      </w:r>
      <w:r>
        <w:rPr>
          <w:rFonts w:ascii="Arial" w:hAnsi="Arial"/>
          <w:sz w:val="23"/>
        </w:rPr>
        <w:t>A metodologia clássica de Box e Jenkins [1] (ARIMA e SARIMA) permanece como a base de referência para capturar autocorrelação temporal e sazonalidade em séries de preços;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2. Arquiteturas Híbridas (Linear + Não Linear): </w:t>
      </w:r>
      <w:r>
        <w:rPr>
          <w:rFonts w:ascii="Arial" w:hAnsi="Arial"/>
          <w:sz w:val="23"/>
        </w:rPr>
        <w:t>Zhang [3] propôs a combinação entre ARIMA (para capturar a estrutura linear) e Redes Neurais / Random Forest (para modelar os resíduos não lineares), demonstrando reduções substanciais de erro em comparação a modelos isolados [4];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3. Meta-heurísticas na Seleção de Atributos: </w:t>
      </w:r>
      <w:r>
        <w:rPr>
          <w:rFonts w:ascii="Arial" w:hAnsi="Arial"/>
          <w:sz w:val="23"/>
        </w:rPr>
        <w:t>Estudos recentes utilizam Algoritmos Genéticos e PSO para selecionar variáveis macroeconômicas em bases de alta dimensionalidade, provando que modelos com 5 a 7 atributos bem selecionados superam modelos com todas as variáveis [5, 6].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sz w:val="26"/>
        </w:rPr>
        <w:t>3. Planejamento, Governança e Dados do Projeto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3.1 Stakeholders do Projeto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O desenvolvimento deste trabalho conecta-se a quatro grupos principais de interesse: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• Comunidade Acadêmica: </w:t>
      </w:r>
      <w:r>
        <w:rPr>
          <w:rFonts w:ascii="Arial" w:hAnsi="Arial"/>
          <w:sz w:val="23"/>
        </w:rPr>
        <w:t>Estudantes e pesquisadores de ciência de dados aplicados a problemas econômicos reais;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• Mercado Financeiro e Investidores: </w:t>
      </w:r>
      <w:r>
        <w:rPr>
          <w:rFonts w:ascii="Arial" w:hAnsi="Arial"/>
          <w:sz w:val="23"/>
        </w:rPr>
        <w:t>Gestores de fundos e analistas de risco que necessitam de projeções para títulos indexados à inflação (NTN-B/IPCA+);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• Setor Corporativo: </w:t>
      </w:r>
      <w:r>
        <w:rPr>
          <w:rFonts w:ascii="Arial" w:hAnsi="Arial"/>
          <w:sz w:val="23"/>
        </w:rPr>
        <w:t>Departamentos de planejamento orçamentário que utilizam projeções do IPCA para reajustes salariais e contratos de fornecimento;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• Setor Público: </w:t>
      </w:r>
      <w:r>
        <w:rPr>
          <w:rFonts w:ascii="Arial" w:hAnsi="Arial"/>
          <w:sz w:val="23"/>
        </w:rPr>
        <w:t>Órgãos governamentais e formuladores de políticas públicas que monitoram a evolução de preços.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3.2 Inventário e Dicionário de Dados do Projeto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base de dados empírica foi construída a partir da coleta automatizada de séries temporais oficiais disponibilizadas na API pública do Sistema Gerenciador de Séries Temporais do Banco Central (SGS/BACEN). O horizonte histórico abrange observações mensais contínuas (frequência Month Start - MS) de março de 2012 a agosto de 2026, totalizando 174 meses sem lacunas.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O painel consolida 1 variável dependente alvo (o IPCA mensal) e 28 variáveis exógenas candidatas, distribuídas em quatro dimensões macroeconômicas. A Tabela 1 apresenta o inventário completo dos dados coletados.</w:t>
      </w:r>
    </w:p>
    <w:p>
      <w:pPr>
        <w:spacing w:before="120" w:after="80" w:line="276" w:lineRule="auto"/>
        <w:jc w:val="center"/>
      </w:pPr>
      <w:r>
        <w:rPr>
          <w:rFonts w:ascii="Arial" w:hAnsi="Arial"/>
          <w:b/>
          <w:sz w:val="20"/>
        </w:rPr>
        <w:t>Tabela 1 – Dicionário de Dados e Inventário de Atributos Macroeconômicos (2012–2026)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Atributo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Código SGS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Dimensão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Unidade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Papel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Descrição e Significado Econômico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Temporal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AAAA-MM-DD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Índice Temporal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Data de referência mensal da observação.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4447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Índice de Preços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Variável Alvo (y)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Índice Nacional de Preços ao Consumidor Amplo (Meta oficial de inflação do BACEN).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IPCA_Transportes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1639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Desagregação IPCA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Variação de transportes públicos, veículos automotores e combustíveis.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 Alimentação_bebidas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1635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Desagregação IPCA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Variação de alimentos consumidos no domicílio e alimentação fora do lar.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INPC_Habitação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1636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Desagregação IPCA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Variação de aluguel residencial, condomínio, gás e energia elétrica domiciliar.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IPCA_Saúde_cuidados_pessoais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1641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Desagregação IPCA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Variação de produtos farmacêuticos, planos de saúde e serviços pessoais.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IPCA_Vestuário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1638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Desagregação IPCA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Variação mensal de artigos de vestuário, calçados e tecidos.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IPCA_Educação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1643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Desagregação IPCA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Variação de mensalidades escolares, ensino superior, cursos e material didático.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IPCA_Despesas_Pessoais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1642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Desagregação IPCA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Variação de serviços recreativos, culturais, tabacaria e serviços diversos.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USDBRL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3696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Setor Financeiro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R$ / US$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Taxa de câmbio PTAX de venda do Dólar Americano (canal de pass-through).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SELIC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4390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Setor Financeiro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Taxa de juros média nominal fixada pelo COPOM (Taxa Over/Selic).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Reservas Internacionais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3546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Setor Externo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US$ Mi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Montante total de liquidez internacional custodiada pela autoridade monetária.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INPC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188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Índice de Preços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Índice Nacional de Preços ao Consumidor (famílias de 1 a 5 salários mínimos).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IGP_M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189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Índice de Preços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Índice Geral de Preços do Mercado (FGV) - indicador antecedente do atacado.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IGP_DI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Índice de Preços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Índice Geral de Preços - Disponibilidade Interna (FGV).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IPC_BR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Índice de Preços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 a.m.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Índice de Preços ao Consumidor - Brasil (FGV).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PIB Mensal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4380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Atividade Econômica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R$ Mi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Estimativa mensal do Produto Interno Bruto a preços correntes.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Desemprego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24369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Mercado de Trabalho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%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Taxa de desocupação mensal da população civil (PNAD Contínua/IBGE).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SalMinimo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1619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Mercado de Trabalho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R$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Valor nominal fixado por lei federal para o Salário Mínimo nacional.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Estoque_Empregos_Formais_Total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28763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Emprego Formal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Vínculos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Estoque total de postos de trabalho formais celetistas ativos (CAGED).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Estoque_Empregos_Formais_Agropecuária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28764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Emprego Formal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Vínculos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Estoque de postos formais ativos no setor agropecuário (CAGED).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Estoque_Empregos_Formais_Construção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28770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Emprego Formal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Vínculos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Estoque de postos formais ativos no setor da construção civil (CAGED).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QteOvos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1310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Agropecuária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Mil Dúz.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Produção física de ovos de galinha (indicador da oferta alimentar).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Produção_Derivados_Petróleo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1391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Energia / Insumos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Mil m³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Volume de derivados de petróleo produzidos nas refinarias do país.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Consumo_Gasolina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1393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Combustíveis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Mil m³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Consumo aparente mensal de gasolina automotiva no país.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Consumo_Óleo_Combustível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1395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Combustíveis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Mil m³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Consumo industrial aparente mensal de óleo combustível.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Consumo_Energia_Comercial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1402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Energia Elétrica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GWh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Consumo mensal de energia elétrica faturado na classe comercial.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Consumo_Energia_Residencial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1403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Energia Elétrica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GWh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Consumo mensal de energia elétrica faturado na classe residencial.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Consumo_Energia_Total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1406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Energia Elétrica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GWh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Atributo Exógeno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Consumo global de energia elétrica de todas as classes consumidoras.</w:t>
            </w:r>
          </w:p>
        </w:tc>
      </w:tr>
    </w:tbl>
    <w:p>
      <w:pPr>
        <w:spacing w:before="40" w:after="120" w:line="276" w:lineRule="auto"/>
        <w:jc w:val="center"/>
      </w:pPr>
      <w:r>
        <w:rPr>
          <w:rFonts w:ascii="Arial" w:hAnsi="Arial"/>
          <w:sz w:val="23"/>
        </w:rPr>
        <w:t>Fonte: Elaboração própria com base em dados compilados do SGS/Banco Central do Brasil (2026).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3"/>
        </w:rPr>
        <w:t>3.2.1 Delimitação Temporal e Justificativa do Período (2012 a 2026)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A escolha de março de 2012 como ponto inicial do painel fundamenta-se em três critérios metodológicos rigorosos: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Transição da Medição do Desemprego pelo IBGE: </w:t>
      </w:r>
      <w:r>
        <w:rPr>
          <w:rFonts w:ascii="Arial" w:hAnsi="Arial"/>
          <w:sz w:val="23"/>
        </w:rPr>
        <w:t>Em março de 2012, o IBGE implementou a Pesquisa Nacional por Amostra de Domicílios Contínua (PNAD Contínua), substituindo a antiga Pesquisa Mensal de Emprego (PME), restrita a 6 regiões metropolitanas. Usar dados anteriores geraria quebra estrutural severa;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2. Nova Ponderação da Cesta do IPCA: </w:t>
      </w:r>
      <w:r>
        <w:rPr>
          <w:rFonts w:ascii="Arial" w:hAnsi="Arial"/>
          <w:sz w:val="23"/>
        </w:rPr>
        <w:t>Em janeiro de 2012, o IBGE atualizou os pesos de consumo com base na POF 2008-2009, alterando a composição dos gastos das famílias brasileiras;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3. Painel Balanceado no SGS/BACEN: </w:t>
      </w:r>
      <w:r>
        <w:rPr>
          <w:rFonts w:ascii="Arial" w:hAnsi="Arial"/>
          <w:sz w:val="23"/>
        </w:rPr>
        <w:t>Diversas séries desagregadas do Banco Central só passaram a ser apuradas de maneira contínua e sem interrupções a partir de 2012.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3.3 Análise Exploratória dos Dados e Caracterização dos Atributos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análise exploratória de dados (EDA) avalia a distribuição dos valores, a presença de assimetria, a dispersão estatística e os valores extremos (outliers) da série histórica antes da calibração dos modelos preditivos. Para atender aos critérios metodológicos da disciplina, selecionamos e caracterizamos um atributo contínuo numérico primordial e um atributo categórico nominal institucionalmente fundamentado.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3"/>
        </w:rPr>
        <w:t>3.3.1 Seleção e Justificativa dos Atributos Numérico e Nominal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Atributo Numérico Contínuo (IPCA): </w:t>
      </w:r>
      <w:r>
        <w:rPr>
          <w:rFonts w:ascii="Arial" w:hAnsi="Arial"/>
          <w:sz w:val="23"/>
        </w:rPr>
        <w:t>Consiste na taxa percentual mensal de variação da inflação oficial (SGS/BACEN código 4447). Trata-se da variável dependente alvo (target, y) que os modelos irão prever.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2. Atributo Nominal Categórico (Regime de Inflação): </w:t>
      </w:r>
      <w:r>
        <w:rPr>
          <w:rFonts w:ascii="Arial" w:hAnsi="Arial"/>
          <w:sz w:val="23"/>
        </w:rPr>
        <w:t>Construído com base no Regime de Metas para a Inflação estipulado pelo Conselho Monetário Nacional (CMN/BACEN). Discretizamos a série mensal contínua em três classes qualitativas mutuamente exclusivas: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   • Deflação (IPCA &lt; 0,00%): </w:t>
      </w:r>
      <w:r>
        <w:rPr>
          <w:rFonts w:ascii="Arial" w:hAnsi="Arial"/>
          <w:sz w:val="23"/>
        </w:rPr>
        <w:t>Meses com queda atípica generalizada de preços provocada por choques pontuais de demanda ou desonerações fiscais;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   • Meta / Estável (0,00% ≤ IPCA ≤ 0,50%): </w:t>
      </w:r>
      <w:r>
        <w:rPr>
          <w:rFonts w:ascii="Arial" w:hAnsi="Arial"/>
          <w:sz w:val="23"/>
        </w:rPr>
        <w:t>Meses compatíveis com o centro da meta oficial anualizada do BACEN (equivalente a taxas mensais de 0,25% a 0,50% a.m.);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sz w:val="23"/>
        </w:rPr>
        <w:t xml:space="preserve">   • Alta / Acima da Meta (IPCA &gt; 0,50%): </w:t>
      </w:r>
      <w:r>
        <w:rPr>
          <w:rFonts w:ascii="Arial" w:hAnsi="Arial"/>
          <w:sz w:val="23"/>
        </w:rPr>
        <w:t>Meses com pressão inflacionária excessiva que demandam aperto de política monetária.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3"/>
        </w:rPr>
        <w:t>3.3.2 Distribuição de Frequências e Métricas Descritivas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A análise da amostra atualizada (março de 2012 a agosto de 2026, com 174 meses contínuos) aponta a predominância de meses dentro da meta oficial, conforme demonstrado na Tabela 2.</w:t>
      </w:r>
    </w:p>
    <w:p>
      <w:pPr>
        <w:spacing w:before="120" w:after="80" w:line="276" w:lineRule="auto"/>
        <w:jc w:val="center"/>
      </w:pPr>
      <w:r>
        <w:rPr>
          <w:rFonts w:ascii="Arial" w:hAnsi="Arial"/>
          <w:b/>
          <w:sz w:val="20"/>
        </w:rPr>
        <w:t>Tabela 2 – Distribuição de Frequência do Atributo Nominal (Regime de Inflação)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Classe Nominal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Faixa Paramétrica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Absoluta (fi)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Relativa (%)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Acumulada (Fi)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Rel. Acum. (%)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Deflação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IPCA &lt; 0,00%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15,52%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15,52%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Meta / Estável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0,00% ≤ IPCA ≤ 0,50%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44,25%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59,77%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Alta / Acima da Meta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IPCA &gt; 0,50%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40,23%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100,00%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Total Geral Amostral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Horizonte 2012–2026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174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100,00%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174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100,00%</w:t>
            </w:r>
          </w:p>
        </w:tc>
      </w:tr>
    </w:tbl>
    <w:p>
      <w:pPr>
        <w:spacing w:before="40" w:after="120" w:line="276" w:lineRule="auto"/>
        <w:jc w:val="center"/>
      </w:pPr>
      <w:r>
        <w:rPr>
          <w:rFonts w:ascii="Arial" w:hAnsi="Arial"/>
          <w:sz w:val="23"/>
        </w:rPr>
        <w:t>Fonte: Elaboração própria com base em microdados do SGS/BACEN (2026).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Principais estimadores estatísticos do IPCA contínuo na amostra: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Média e Mediana: </w:t>
      </w:r>
      <w:r>
        <w:rPr>
          <w:rFonts w:ascii="Arial" w:hAnsi="Arial"/>
          <w:sz w:val="23"/>
        </w:rPr>
        <w:t>Média de 0,4324% ao mês e mediana de 0,4150% ao mês;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Dispersão: </w:t>
      </w:r>
      <w:r>
        <w:rPr>
          <w:rFonts w:ascii="Arial" w:hAnsi="Arial"/>
          <w:sz w:val="23"/>
        </w:rPr>
        <w:t>Desvio padrão amostral de 0,4719% e variância de 0,2226;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Assimetria e Curtose: </w:t>
      </w:r>
      <w:r>
        <w:rPr>
          <w:rFonts w:ascii="Arial" w:hAnsi="Arial"/>
          <w:sz w:val="23"/>
        </w:rPr>
        <w:t>Assimetria positiva (+0,5287), indicando cauda direita alongada por choques de alta, e curtose de +0,3736 (fracamente leptocúrtica);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Valores Extremos: </w:t>
      </w:r>
      <w:r>
        <w:rPr>
          <w:rFonts w:ascii="Arial" w:hAnsi="Arial"/>
          <w:sz w:val="23"/>
        </w:rPr>
        <w:t>Mínimo histórico de -0,7400% (junho/2023) e máximo de +1,9500% (dezembro/2019);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• Quartis e Intervalo Interquartílico: </w:t>
      </w:r>
      <w:r>
        <w:rPr>
          <w:rFonts w:ascii="Arial" w:hAnsi="Arial"/>
          <w:sz w:val="23"/>
        </w:rPr>
        <w:t>Q1 = 0,0800%, Q3 = 0,6775% e IQR = 0,5975 p.p.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3"/>
        </w:rPr>
        <w:t>3.3.3 Análise Visual: Histograma, Boxplot e Gráfico de Dispersão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Para examinar as características visuais da inflação, geramos quatro gráficos em alta resolução (300 DPI), apresentados a seguir acompanhados de suas interpretações práticas.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466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Histograma_IP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1 – Histograma e Densidade Empírica (KDE) do IPCA (2012 a 2026)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Figura 1 confirma que a distribuição da inflação concentra-se entre 0,10% e 0,60% ao mês. A proximidade entre média e mediana reforça a regularidade central, enquanto a assimetria positiva (+0,53) demonstra que choques inflacionários são mais acentuados do que quedas de preço.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Boxplot_I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2 – Diagrama de Caixa (Boxplot) do IPCA: Amostra Global e por Regimes de Inflação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O Boxplot univariado na Figura 2(A) identifica 5 outliers pelo critério de Tukey (IQR): dezembro/2019 (+1,95%), outubro/2020 (+1,72%), novembro/2020 (+1,61%), dezembro/2020 (+1,58%) e dezembro/2021 (+1,58%), correspondendo a choques de carnes e restrições de cadeias globais durante a pandemia. Na Figura 2(B), nota-se que a variabilidade da classe 'Alta' é muito mais ampla do que na classe 'Meta', justificando o emprego de modelos híbridos com aprendizado de máquina para modelar os resíduos.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Dispersao_IPCA_Camb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3 – Gráfico de Dispersão entre IPCA e Taxa de Câmbio (USDBRL) por Regime Nominal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O gráfico de dispersão da Figura 3 evidencia a relação positiva entre desvalorização cambial e inflação (repasse cambial). À medida que a cotação do dólar sobe, a proporção de observações no regime de 'Alta' aumenta perceptivelmente, comprovando a relevância do câmbio como variável preditiva exógena.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321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Distribuicao_Regi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4 – Proporção Percentual dos Regimes Nominais de Inflação (N = 174 meses)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Figura 4 sintetiza a predominância dos regimes: 44,25% dos meses situaram-se dentro da meta, 40,23% em patamares elevados e apenas 15,52% em deflação (composta por desonerações fiscais temporárias e contrações severas de demanda).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3"/>
        </w:rPr>
        <w:t>3.3.4 Governança, Integridade e Requisitos de Qualidade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3"/>
        </w:rPr>
        <w:t>O tratamento dos dados segue rigorosamente a Lei Geral de Proteção de Dados Pessoais (LGPD – Lei nº 13.709/2018). As séries temporais empregadas são dados macroeconômicos públicos e agregados (SGS/BACEN, IBGE, FGV e Ministério do Trabalho), sem identificadores individuais. Sob a perspectiva de engenharia de dados, garantimos: (i) prevenção estrita de vazamento prospectivo (lookahead bias); (ii) completude amostral de 100% sem lacunas no período de 2012 a 2026; e (iii) reprodutibilidade científica por meio de scripts Python automatizados.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sz w:val="26"/>
        </w:rPr>
        <w:t>3.4 Pré-processamento dos Dados e Dicionário de Dados Final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O pré-processamento transforma as séries econômicas brutas em um painel equilibrado, consistente e apto a alimentar os estimadores lineares e não lineares. Esse fluxo é organizado em três etapas fundamentais: Limpeza, Redução e Transformação.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3.4.1 Procedimentos de Limpeza e Saneamento de Dados (Data Cleaning)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Sincronização Cronológica: </w:t>
      </w:r>
      <w:r>
        <w:rPr>
          <w:rFonts w:ascii="Arial" w:hAnsi="Arial"/>
          <w:sz w:val="23"/>
        </w:rPr>
        <w:t>Séries diárias do mercado financeiro (taxa de câmbio PTAX e taxa Selic) foram convertidas para médias mensais de dias úteis e alinhadas sob frequência contínua Month Start (MS) de março de 2012 a agosto de 2026;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2. Tratamento de Zeros Estruturais: </w:t>
      </w:r>
      <w:r>
        <w:rPr>
          <w:rFonts w:ascii="Arial" w:hAnsi="Arial"/>
          <w:sz w:val="23"/>
        </w:rPr>
        <w:t>Em fluxos e estoques contínuos (refino de petróleo, consumo de combustíveis, energia e estoque do CAGED), zeros espúrios causados por atrasos de declaração contábil foram substituídos por valores nulos (NaN) para não distorcer variações percentuais;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3. Sanitização Numérica: </w:t>
      </w:r>
      <w:r>
        <w:rPr>
          <w:rFonts w:ascii="Arial" w:hAnsi="Arial"/>
          <w:sz w:val="23"/>
        </w:rPr>
        <w:t>Valores infinitos positivos ou negativos (±inf) decorrentes de potenciais divisões aritméticas foram substituídos por NaN;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4. Imputação Temporal sem Vazamento de Dados: </w:t>
      </w:r>
      <w:r>
        <w:rPr>
          <w:rFonts w:ascii="Arial" w:hAnsi="Arial"/>
          <w:sz w:val="23"/>
        </w:rPr>
        <w:t>Valores faltantes foram tratados via interpolação linear temporal contínua indexada por datas (interpolate(method='time')). Para regressores de Machine Learning, qualquer imputação estatística é calibrada no treino e aplicada de forma cega no teste;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5. Diagnóstico de Outliers e Preservação de Choques Reais: </w:t>
      </w:r>
      <w:r>
        <w:rPr>
          <w:rFonts w:ascii="Arial" w:hAnsi="Arial"/>
          <w:sz w:val="23"/>
        </w:rPr>
        <w:t>Choques genuínos (deflação da COVID-19 em 2020 e desonerações tributárias em 2022) foram integralmente preservados para os modelos ARIMA e ARIMAX, enquanto modelos de aprendizado de máquina contam com winsorização conservadora (percentis 1% e 99% no treino) para evitar distorções espaciais nos pesos.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3.4.2 Técnicas de Redução de Dados e Dimensionalidade (Data Reduction)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Redução Amostral Estrutural (Truncamento pós-2012): </w:t>
      </w:r>
      <w:r>
        <w:rPr>
          <w:rFonts w:ascii="Arial" w:hAnsi="Arial"/>
          <w:sz w:val="23"/>
        </w:rPr>
        <w:t>O descarte intencional de registros anteriores a março de 2012 eliminou quebras estruturais severas da transição PME para PNAD Contínua e da reformulação da cesta da POF;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2. Seleção de Atributos por Meta-heurísticas (GA e PSO): </w:t>
      </w:r>
      <w:r>
        <w:rPr>
          <w:rFonts w:ascii="Arial" w:hAnsi="Arial"/>
          <w:sz w:val="23"/>
        </w:rPr>
        <w:t>Dos 27 atributos exógenos candidatos, Algoritmos Genéticos (GA) e Enxame de Partículas (PSO) selecionaram os subconjuntos ótimos de 5 variáveis-chave. No modelo campeão (ARIMAX + Random Forest), o PSO selecionou: IPCA_Transportes, IGP_DI, Produção_Derivados_Petróleo, Consumo_Gasolina e Estoque_Empregos_Formais_Total, reduzindo a dimensionalidade em mais de 80% e alcançando o menor erro do estudo (RMSE de 0,1046).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3.4.3 Transformação de Dados e Engenharia de Atributos (Data Transformation)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Particionamento Temporal Cronológico 80/20: </w:t>
      </w:r>
      <w:r>
        <w:rPr>
          <w:rFonts w:ascii="Arial" w:hAnsi="Arial"/>
          <w:sz w:val="23"/>
        </w:rPr>
        <w:t>A base tratada foi dividida estritamente em ordem cronológica (sem embaralhamento) em 80% para treino e 20% para teste, suportando o esquema walk-forward (previsões dinâmicas de 1 passo à frente);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2. Teste ADF e Estacionarização Automática: </w:t>
      </w:r>
      <w:r>
        <w:rPr>
          <w:rFonts w:ascii="Arial" w:hAnsi="Arial"/>
          <w:sz w:val="23"/>
        </w:rPr>
        <w:t>Modelos ARIMA pressupõem séries estacionárias. O teste Augmented Dickey-Fuller (ADF a 5%) confirmou que o IPCA e os subíndices de preços são I(0) (estacionários em nível). Séries com raiz unitária (como PIB, Câmbio e Combustíveis) foram submetidas à primeira diferenciação sucessiva (ΔX_t = X_t - X_{t-1}), eliminando regressão espúria;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3. Engenharia de Defasagens Temporais (Lags): </w:t>
      </w:r>
      <w:r>
        <w:rPr>
          <w:rFonts w:ascii="Arial" w:hAnsi="Arial"/>
          <w:sz w:val="23"/>
        </w:rPr>
        <w:t>Criamos defasagens autoregressivas de 1 a 3 meses para capturar o tempo de transmissão de decisões de juros e oscilações cambiais até os preços ao consumidor;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4. Padronização de Escalas via StandardScaler: </w:t>
      </w:r>
      <w:r>
        <w:rPr>
          <w:rFonts w:ascii="Arial" w:hAnsi="Arial"/>
          <w:sz w:val="23"/>
        </w:rPr>
        <w:t>Para evitar que variáveis medidas em bilhões (como PIB) dominassem atributos medidos em percentuais decimais (como IPCA e Selic), normalizou-se os dados via Z-Score com média e desvio padrão calibrados estritamente na partição de treino.</w:t>
      </w:r>
    </w:p>
    <w:p>
      <w:pPr>
        <w:spacing w:before="260" w:after="100" w:line="276" w:lineRule="auto"/>
        <w:jc w:val="left"/>
      </w:pPr>
      <w:r>
        <w:rPr>
          <w:rFonts w:ascii="Arial" w:hAnsi="Arial"/>
          <w:b/>
          <w:sz w:val="24"/>
        </w:rPr>
        <w:t>3.4.4 Dicionário de Dados Final do Projeto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Como síntese de todas as etapas de saneamento, estacionarização e seleção bioinspirada, a Tabela 3 apresenta o Dicionário de Dados Final do projeto, especificando cada atributo, seu código SGS, tipo, transformação aplicada, resultado do teste ADF e função metodológica nos modelos.</w:t>
      </w:r>
    </w:p>
    <w:p>
      <w:pPr>
        <w:spacing w:before="120" w:after="80" w:line="276" w:lineRule="auto"/>
        <w:jc w:val="center"/>
      </w:pPr>
      <w:r>
        <w:rPr>
          <w:rFonts w:ascii="Arial" w:hAnsi="Arial"/>
          <w:b/>
          <w:sz w:val="20"/>
        </w:rPr>
        <w:t>Tabela 3 – Dicionário de Dados Final e Especificação de Atributos Pré-Processados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Atributo Final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Código SGS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Transformação Aplicada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Estacionariedade (ADF)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Seleção / Subconjunto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Papel Metodológico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IPCA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4447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Nível Original (% a.m.)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0,0002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Todas as Configurações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Variável Alvo (Target y_t) - Inflação oficial sob regime de metas.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d_IPCA_Transportes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1639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(ARIMAX+RF) / 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Choques de preços de combustíveis e mobilidade.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d_IPCA_Alimentação_bebidas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1635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(Lasso) / GA (ARIMAX)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Choques climáticos e safras no consumo domiciliar.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d_INPC_Habitação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1636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(Lasso) / GA (RNA)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Pressões de aluguel e tarifas elétricas domiciliares.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d_IPCA_Saúde_cuidados_pessoais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1641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GA (ARIMAX+RF) / PSO (Lasso)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Repasse de custos médicos e planos de saúde.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d_IPCA_Vestuário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1638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0,0236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GA (ARIMAX+RF, ARIMAX)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Sazonalidade de coleções e liquidações do varejo.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d_IPCA_Educação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1643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Reajustes concentrados de matrículas escolares (fevereiro).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d_IPCA_Despesas_Pessoais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1642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GA (ARIMAX, RNA) / PSO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Sensibilidade de demanda de serviços recreativos e pessoais.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d_USDBRL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3696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Dif. (Δ) + Z-Score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(ARIMAX, Lasso) / GA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Mecanismo de pass-through cambial e importações.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SELIC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4390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Nível Original (% a.m.)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0,0462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 / Defasada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Taxa básica de juros da política monetária do COPOM.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d_Reservas_Internacionais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3546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Liquidez externa e blindagem a choques globais.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INPC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188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Nível Original (% a.m.)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(ARIMAX) / 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Inflação incidente em famílias de 1 a 5 salários mínimos.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IGP_M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189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Nível Original (% a.m.)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 / Defasada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Indicador antecedente de custos no atacado (FGV).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IGP_DI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190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Nível Original (% a.m.)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0,0104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(ARIMAX+RF)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Preços ao produtor e insumos de disponibilidade interna.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IPC_BR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191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Nível Original (% a.m.)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(ARIMAX) / GA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Índice de preços ao consumidor abrangente da FGV.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d_log_PIB_Mensal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4380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Log-Diferença (Δ ln)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0,0123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(Random Forest)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Taxa de crescimento da atividade econômica e hiato.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d2_Desemprego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24369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2ª Diferença (Δ²)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Dinâmica da desocupação formal (Curva de Phillips).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d_SalMinimo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1619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Variação Nominal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(Random Forest)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Reajustes federais de piso salarial e custos do setor terciário.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d_Estoque_Empregos_Total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28763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 Saldo)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(ARIMAX+RF) / GA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Saldo líquido mensal de geração de emprego formal (CAGED).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d_Estoque_Agropecuária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28764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 Saldo)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(Random Forest)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Dinâmica do emprego rural e safras do agronegócio.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Estoque_Construção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28770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Variação em Nível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0,0374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(Random Forest)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Termômetro do ciclo de investimentos da construção civil.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d_QteOvos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1310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Proxy de volume físico da oferta agropecuária avícola.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d_Produção_Derivados_Petróleo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1391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(ARIMAX+RF, RF)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Volume físico de refino de derivados e oferta energética.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d_Consumo_Gasolina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1393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0,0198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PSO (ARIMAX+RF)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Consumo automotivo e pressão de curto prazo em transporte.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d_Consumo_Óleo_Combustível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1395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&lt; 0,0001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Indicador logístico do transporte pesado de carga.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d_Consumo_Energia_Comercial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1402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0,0016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GA (ARIMAX+RF) / PSO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Carga elétrica faturada no comércio (proxy em tempo real).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d_log_Consumo_Energia_Residencial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1403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Log-Diferença (Δ ln)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0,0386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Padrão de consumo elétrico das famílias desprovido de tarifa.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d_Consumo_Energia_Total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1406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1ª Diferença (Δ)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p = 0,0106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Base Geral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Exógena - Demanda física global de energia elétrica de todos os setores.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mes_sin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Harmônica Seno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Estacionária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Todas as Configurações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Sazonal - Projeção harmônica cíclica ortogonal sin(2π m / 12).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mes_cos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Harmônica Cosseno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Estacionária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Todas as Configurações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Covariável Sazonal - Projeção harmônica cíclica ortogonal cos(2π m / 12).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Lags Exógenos (t-1 a t-3)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Vários</w:t>
            </w:r>
          </w:p>
        </w:tc>
        <w:tc>
          <w:tcPr>
            <w:tcW w:type="dxa" w:w="7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Float64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Deslocamento Temporal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I(0) | Estacionária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Modelos Temporais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Covariáveis Dinâmicas - Captura da inércia inflacionária e defasagens de transmissão.</w:t>
            </w:r>
          </w:p>
        </w:tc>
      </w:tr>
    </w:tbl>
    <w:p>
      <w:pPr>
        <w:spacing w:before="40" w:after="160" w:line="276" w:lineRule="auto"/>
        <w:jc w:val="center"/>
      </w:pPr>
      <w:r>
        <w:rPr>
          <w:rFonts w:ascii="Arial" w:hAnsi="Arial"/>
          <w:sz w:val="23"/>
        </w:rPr>
        <w:t>Fonte: Elaboração própria com base no pipeline computacional desenvolvido (2026).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sz w:val="26"/>
        </w:rPr>
        <w:t>Referências Bibliográficas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[1] BOX, G. E.; JENKINS, G. M.; REINSEL, G. C.; LJUNG, G. M. Time Series Analysis: Forecasting and Control. 5. ed. Hoboken: John Wiley &amp; Sons, 2015.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[2] BANCO CENTRAL DO BRASIL (BACEN). Sistema Gerenciador de Séries Temporais (SGS). Disponível em: &lt;https://www3.bcb.gov.br/sgspub/&gt;. Acesso em: 16 set. 2026.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[3] ZHANG, G. P. Time series forecasting using a hybrid ARIMA and neural network model. Neurocomputing, v. 50, p. 159–175, 2003.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[4] KHANDANI, A. E.; KIM, A. J.; LO, A. W. Consumer credit-risk models via machine-learning algorithms. Journal of Banking &amp; Finance, v. 34, n. 11, p. 2767–2787, 2010.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[5] KENNEDY, J.; EBERHART, R. Particle swarm optimization. In: PROCEEDINGS OF ICNN'95 - INTERNATIONAL CONFERENCE ON NEURAL NETWORKS, v. 4, p. 1942–1948, 1995.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[6] HOLLAND, J. H. Adaptation in Natural and Artificial Systems: An Introductory Analysis with Applications to Biology, Control, and Artificial Intelligence. Cambridge: MIT Press, 1992.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[7] INSTITUTO BRASILEIRO DE GEOGRAFIA E ESTATÍSTICA (IBGE). Sistema Nacional de Índices de Preços ao Consumidor (SNIPC): Metodologia do IPCA e INPC. Rio de Janeiro: IBGE, 2020.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[8] HYNDMAN, R. J.; ATHANASOPOULOS, G. Forecasting: Principles and Practice. 3. ed. Melbourne: OTexts, 2021.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[9] HASTIE, T.; TIBSHIRANI, R.; FRIEDMAN, J. The Elements of Statistical Learning: Data Mining, Inference, and Prediction. 2. ed. New York: Springer, 2009.</w:t>
      </w:r>
    </w:p>
    <w:p>
      <w:pPr>
        <w:spacing w:before="40" w:after="80" w:line="252" w:lineRule="auto"/>
        <w:jc w:val="both"/>
      </w:pPr>
      <w:r>
        <w:rPr>
          <w:rFonts w:ascii="Arial" w:hAnsi="Arial"/>
          <w:sz w:val="19"/>
        </w:rPr>
        <w:t>[10] PEDREGOSA, F. et al. Scikit-learn: Machine Learning in Python. Journal of Machine Learning Research, v. 12, p. 2825–2830, 2011.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