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/>
          <w:sz w:val="20"/>
        </w:rPr>
        <w:t>MINERAÇÃO DE DADOS | ENTREGA DA ATIVIDADE</w:t>
      </w:r>
    </w:p>
    <w:p>
      <w:pPr>
        <w:spacing w:before="0" w:after="280" w:line="276" w:lineRule="auto"/>
        <w:jc w:val="center"/>
      </w:pPr>
      <w:r>
        <w:rPr>
          <w:rFonts w:ascii="Arial" w:hAnsi="Arial"/>
          <w:sz w:val="22"/>
        </w:rPr>
        <w:t>Seção 3.3 do Artigo: Análise Exploratória dos Dados e Caracterização dos Atributos</w:t>
      </w:r>
    </w:p>
    <w:p>
      <w:pPr>
        <w:spacing w:before="280" w:after="100" w:line="276" w:lineRule="auto"/>
        <w:jc w:val="left"/>
      </w:pPr>
      <w:r>
        <w:rPr>
          <w:rFonts w:ascii="Arial" w:hAnsi="Arial"/>
          <w:b/>
          <w:sz w:val="26"/>
        </w:rPr>
        <w:t>3.3 Análise Exploratória dos Dados e Caracterização dos Atributos</w:t>
      </w:r>
    </w:p>
    <w:p>
      <w:pPr>
        <w:spacing w:before="0" w:after="100" w:line="276" w:lineRule="auto"/>
        <w:jc w:val="both"/>
      </w:pPr>
      <w:r>
        <w:rPr>
          <w:rFonts w:ascii="Arial" w:hAnsi="Arial"/>
          <w:sz w:val="23"/>
        </w:rPr>
        <w:t>A análise exploratória de dados (EDA) avalia a distribuição dos valores, a presença de assimetria, a dispersão estatística e os valores extremos (outliers) da série histórica antes da calibração dos modelos preditivos. Para atender aos critérios metodológicos da disciplina, selecionamos e caracterizamos um atributo contínuo numérico primordial e um atributo categórico nominal institucionalmente fundamentado.</w:t>
      </w:r>
    </w:p>
    <w:p>
      <w:pPr>
        <w:spacing w:before="220" w:after="80" w:line="276" w:lineRule="auto"/>
        <w:jc w:val="left"/>
      </w:pPr>
      <w:r>
        <w:rPr>
          <w:rFonts w:ascii="Arial" w:hAnsi="Arial"/>
          <w:b/>
          <w:sz w:val="23"/>
        </w:rPr>
        <w:t>3.3.1 Seleção e Justificativa dos Atributos Numérico e Nominal</w:t>
      </w:r>
    </w:p>
    <w:p>
      <w:pPr>
        <w:spacing w:before="0" w:after="60" w:line="276" w:lineRule="auto"/>
        <w:jc w:val="both"/>
      </w:pPr>
      <w:r>
        <w:rPr>
          <w:rFonts w:ascii="Arial" w:hAnsi="Arial"/>
          <w:b/>
          <w:sz w:val="23"/>
        </w:rPr>
        <w:t xml:space="preserve">1. Atributo Numérico Contínuo (IPCA): </w:t>
      </w:r>
      <w:r>
        <w:rPr>
          <w:rFonts w:ascii="Arial" w:hAnsi="Arial"/>
          <w:sz w:val="23"/>
        </w:rPr>
        <w:t>Consiste na taxa percentual mensal de variação da inflação oficial (SGS/BACEN código 4447). Trata-se da variável dependente alvo (target, y) que os modelos irão prever.</w:t>
      </w:r>
    </w:p>
    <w:p>
      <w:pPr>
        <w:spacing w:before="0" w:after="60" w:line="276" w:lineRule="auto"/>
        <w:jc w:val="both"/>
      </w:pPr>
      <w:r>
        <w:rPr>
          <w:rFonts w:ascii="Arial" w:hAnsi="Arial"/>
          <w:b/>
          <w:sz w:val="23"/>
        </w:rPr>
        <w:t xml:space="preserve">2. Atributo Nominal Categórico (Regime de Inflação): </w:t>
      </w:r>
      <w:r>
        <w:rPr>
          <w:rFonts w:ascii="Arial" w:hAnsi="Arial"/>
          <w:sz w:val="23"/>
        </w:rPr>
        <w:t>Construído com base no Regime de Metas para a Inflação estipulado pelo Conselho Monetário Nacional (CMN/BACEN). Discretizamos a série mensal contínua em três classes qualitativas mutuamente exclusivas:</w:t>
      </w:r>
    </w:p>
    <w:p>
      <w:pPr>
        <w:spacing w:before="0" w:after="40" w:line="276" w:lineRule="auto"/>
        <w:jc w:val="both"/>
      </w:pPr>
      <w:r>
        <w:rPr>
          <w:rFonts w:ascii="Arial" w:hAnsi="Arial"/>
          <w:b/>
          <w:sz w:val="23"/>
        </w:rPr>
        <w:t xml:space="preserve">   • Deflação (IPCA &lt; 0,00%): </w:t>
      </w:r>
      <w:r>
        <w:rPr>
          <w:rFonts w:ascii="Arial" w:hAnsi="Arial"/>
          <w:sz w:val="23"/>
        </w:rPr>
        <w:t>Meses com queda atípica generalizada de preços provocada por choques pontuais de demanda ou desonerações fiscais;</w:t>
      </w:r>
    </w:p>
    <w:p>
      <w:pPr>
        <w:spacing w:before="0" w:after="40" w:line="276" w:lineRule="auto"/>
        <w:jc w:val="both"/>
      </w:pPr>
      <w:r>
        <w:rPr>
          <w:rFonts w:ascii="Arial" w:hAnsi="Arial"/>
          <w:b/>
          <w:sz w:val="23"/>
        </w:rPr>
        <w:t xml:space="preserve">   • Meta / Estável (0,00% ≤ IPCA ≤ 0,50%): </w:t>
      </w:r>
      <w:r>
        <w:rPr>
          <w:rFonts w:ascii="Arial" w:hAnsi="Arial"/>
          <w:sz w:val="23"/>
        </w:rPr>
        <w:t>Meses compatíveis com o centro da meta oficial anualizada do BACEN (equivalente a taxas mensais de 0,25% a 0,50% a.m.);</w:t>
      </w:r>
    </w:p>
    <w:p>
      <w:pPr>
        <w:spacing w:before="0" w:after="100" w:line="276" w:lineRule="auto"/>
        <w:jc w:val="both"/>
      </w:pPr>
      <w:r>
        <w:rPr>
          <w:rFonts w:ascii="Arial" w:hAnsi="Arial"/>
          <w:b/>
          <w:sz w:val="23"/>
        </w:rPr>
        <w:t xml:space="preserve">   • Alta / Acima da Meta (IPCA &gt; 0,50%): </w:t>
      </w:r>
      <w:r>
        <w:rPr>
          <w:rFonts w:ascii="Arial" w:hAnsi="Arial"/>
          <w:sz w:val="23"/>
        </w:rPr>
        <w:t>Meses com pressão inflacionária excessiva que demandam aperto de política monetária.</w:t>
      </w:r>
    </w:p>
    <w:p>
      <w:pPr>
        <w:spacing w:before="220" w:after="80" w:line="276" w:lineRule="auto"/>
        <w:jc w:val="left"/>
      </w:pPr>
      <w:r>
        <w:rPr>
          <w:rFonts w:ascii="Arial" w:hAnsi="Arial"/>
          <w:b/>
          <w:sz w:val="23"/>
        </w:rPr>
        <w:t>3.3.2 Distribuição de Frequências e Métricas Descritivas</w:t>
      </w:r>
    </w:p>
    <w:p>
      <w:pPr>
        <w:spacing w:before="0" w:after="80" w:line="276" w:lineRule="auto"/>
        <w:jc w:val="both"/>
      </w:pPr>
      <w:r>
        <w:rPr>
          <w:rFonts w:ascii="Arial" w:hAnsi="Arial"/>
          <w:sz w:val="23"/>
        </w:rPr>
        <w:t>A análise da amostra atualizada (março de 2012 a agosto de 2026, com 174 meses contínuos) aponta a predominância de meses dentro da meta oficial, conforme demonstrado na Tabela 1.</w:t>
      </w:r>
    </w:p>
    <w:p>
      <w:pPr>
        <w:spacing w:before="120" w:after="80" w:line="276" w:lineRule="auto"/>
        <w:jc w:val="center"/>
      </w:pPr>
      <w:r>
        <w:rPr>
          <w:rFonts w:ascii="Arial" w:hAnsi="Arial"/>
          <w:b/>
          <w:sz w:val="20"/>
        </w:rPr>
        <w:t>Tabela 1 – Distribuição de Frequência do Atributo Nominal (Regime de Inflação)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Classe Nominal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Faixa Paramétrica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Freq. Absoluta (fi)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Freq. Relativa (%)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Freq. Acumulada (Fi)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80" w:type="dxa"/>
              <w:right w:w="8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Freq. Rel. Acum. (%)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Deflação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IPCA &lt; 0,00%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15,52%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15,52%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Meta / Estável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0,00% ≤ IPCA ≤ 0,50%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44,25%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59,77%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Alta / Acima da Meta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IPCA &gt; 0,50%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40,23%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174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100,00%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shd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Total Geral Amostral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  <w:shd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Horizonte 2012–2026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174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100,00%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174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80" w:type="dxa"/>
              <w:right w:w="80" w:type="dxa"/>
            </w:tcMar>
            <w:shd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100,00%</w:t>
            </w:r>
          </w:p>
        </w:tc>
      </w:tr>
    </w:tbl>
    <w:p>
      <w:pPr>
        <w:spacing w:before="40" w:after="120" w:line="276" w:lineRule="auto"/>
        <w:jc w:val="center"/>
      </w:pPr>
      <w:r>
        <w:rPr>
          <w:rFonts w:ascii="Arial" w:hAnsi="Arial"/>
          <w:sz w:val="23"/>
        </w:rPr>
        <w:t>Fonte: Elaboração própria com base em microdados do SGS/BACEN (2026).</w:t>
      </w:r>
    </w:p>
    <w:p>
      <w:pPr>
        <w:spacing w:before="0" w:after="80" w:line="276" w:lineRule="auto"/>
        <w:jc w:val="both"/>
      </w:pPr>
      <w:r>
        <w:rPr>
          <w:rFonts w:ascii="Arial" w:hAnsi="Arial"/>
          <w:sz w:val="23"/>
        </w:rPr>
        <w:t>Principais estimadores estatísticos do IPCA contínuo na amostra:</w:t>
      </w:r>
    </w:p>
    <w:p>
      <w:pPr>
        <w:spacing w:before="0" w:after="40" w:line="276" w:lineRule="auto"/>
        <w:jc w:val="both"/>
      </w:pPr>
      <w:r>
        <w:rPr>
          <w:rFonts w:ascii="Arial" w:hAnsi="Arial"/>
          <w:b/>
          <w:sz w:val="23"/>
        </w:rPr>
        <w:t xml:space="preserve">• Média e Mediana: </w:t>
      </w:r>
      <w:r>
        <w:rPr>
          <w:rFonts w:ascii="Arial" w:hAnsi="Arial"/>
          <w:sz w:val="23"/>
        </w:rPr>
        <w:t>Média de 0,4324% ao mês e mediana de 0,4150% ao mês;</w:t>
      </w:r>
    </w:p>
    <w:p>
      <w:pPr>
        <w:spacing w:before="0" w:after="40" w:line="276" w:lineRule="auto"/>
        <w:jc w:val="both"/>
      </w:pPr>
      <w:r>
        <w:rPr>
          <w:rFonts w:ascii="Arial" w:hAnsi="Arial"/>
          <w:b/>
          <w:sz w:val="23"/>
        </w:rPr>
        <w:t xml:space="preserve">• Dispersão: </w:t>
      </w:r>
      <w:r>
        <w:rPr>
          <w:rFonts w:ascii="Arial" w:hAnsi="Arial"/>
          <w:sz w:val="23"/>
        </w:rPr>
        <w:t>Desvio padrão amostral de 0,4719% e variância de 0,2226;</w:t>
      </w:r>
    </w:p>
    <w:p>
      <w:pPr>
        <w:spacing w:before="0" w:after="40" w:line="276" w:lineRule="auto"/>
        <w:jc w:val="both"/>
      </w:pPr>
      <w:r>
        <w:rPr>
          <w:rFonts w:ascii="Arial" w:hAnsi="Arial"/>
          <w:b/>
          <w:sz w:val="23"/>
        </w:rPr>
        <w:t xml:space="preserve">• Assimetria e Curtose: </w:t>
      </w:r>
      <w:r>
        <w:rPr>
          <w:rFonts w:ascii="Arial" w:hAnsi="Arial"/>
          <w:sz w:val="23"/>
        </w:rPr>
        <w:t>Assimetria positiva (+0,5287), indicando cauda direita alongada por choques de alta, e curtose de +0,3736 (fracamente leptocúrtica);</w:t>
      </w:r>
    </w:p>
    <w:p>
      <w:pPr>
        <w:spacing w:before="0" w:after="40" w:line="276" w:lineRule="auto"/>
        <w:jc w:val="both"/>
      </w:pPr>
      <w:r>
        <w:rPr>
          <w:rFonts w:ascii="Arial" w:hAnsi="Arial"/>
          <w:b/>
          <w:sz w:val="23"/>
        </w:rPr>
        <w:t xml:space="preserve">• Valores Extremos: </w:t>
      </w:r>
      <w:r>
        <w:rPr>
          <w:rFonts w:ascii="Arial" w:hAnsi="Arial"/>
          <w:sz w:val="23"/>
        </w:rPr>
        <w:t>Mínimo histórico de -0,7400% (junho/2023) e máximo de +1,9500% (dezembro/2019);</w:t>
      </w:r>
    </w:p>
    <w:p>
      <w:pPr>
        <w:spacing w:before="0" w:after="120" w:line="276" w:lineRule="auto"/>
        <w:jc w:val="both"/>
      </w:pPr>
      <w:r>
        <w:rPr>
          <w:rFonts w:ascii="Arial" w:hAnsi="Arial"/>
          <w:b/>
          <w:sz w:val="23"/>
        </w:rPr>
        <w:t xml:space="preserve">• Quartis e Intervalo Interquartílico: </w:t>
      </w:r>
      <w:r>
        <w:rPr>
          <w:rFonts w:ascii="Arial" w:hAnsi="Arial"/>
          <w:sz w:val="23"/>
        </w:rPr>
        <w:t>Q1 = 0,0800%, Q3 = 0,6775% e IQR = 0,5975 p.p.</w:t>
      </w:r>
    </w:p>
    <w:p>
      <w:pPr>
        <w:spacing w:before="220" w:after="80" w:line="276" w:lineRule="auto"/>
        <w:jc w:val="left"/>
      </w:pPr>
      <w:r>
        <w:rPr>
          <w:rFonts w:ascii="Arial" w:hAnsi="Arial"/>
          <w:b/>
          <w:sz w:val="23"/>
        </w:rPr>
        <w:t>3.3.3 Análise Visual: Histograma, Boxplot e Gráfico de Dispersão</w:t>
      </w:r>
    </w:p>
    <w:p>
      <w:pPr>
        <w:spacing w:before="0" w:after="100" w:line="276" w:lineRule="auto"/>
        <w:jc w:val="both"/>
      </w:pPr>
      <w:r>
        <w:rPr>
          <w:rFonts w:ascii="Arial" w:hAnsi="Arial"/>
          <w:sz w:val="23"/>
        </w:rPr>
        <w:t>Para examinar as características visuais da inflação, geramos quatro gráficos em alta resolução (300 DPI), apresentados a seguir acompanhados de suas interpretações práticas.</w:t>
      </w:r>
    </w:p>
    <w:p>
      <w:pPr>
        <w:spacing w:before="14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29200" cy="3466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_Histograma_IP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66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jc w:val="center"/>
      </w:pPr>
      <w:r>
        <w:rPr>
          <w:rFonts w:ascii="Arial" w:hAnsi="Arial"/>
          <w:i/>
          <w:sz w:val="19"/>
        </w:rPr>
        <w:t>Figura 1 – Histograma e Densidade Empírica (KDE) do IPCA (2012 a 2026)</w:t>
      </w:r>
    </w:p>
    <w:p>
      <w:pPr>
        <w:spacing w:before="0" w:after="100" w:line="276" w:lineRule="auto"/>
        <w:jc w:val="both"/>
      </w:pPr>
      <w:r>
        <w:rPr>
          <w:rFonts w:ascii="Arial" w:hAnsi="Arial"/>
          <w:sz w:val="23"/>
        </w:rPr>
        <w:t>A Figura 1 confirma que a distribuição da inflação concentra-se entre 0,10% e 0,60% ao mês. A proximidade entre média e mediana reforça a regularidade central, enquanto a assimetria positiva (+0,53) demonstra que choques inflacionários são mais acentuados do que quedas de preço.</w:t>
      </w:r>
    </w:p>
    <w:p>
      <w:pPr>
        <w:spacing w:before="14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7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2_Boxplot_IP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jc w:val="center"/>
      </w:pPr>
      <w:r>
        <w:rPr>
          <w:rFonts w:ascii="Arial" w:hAnsi="Arial"/>
          <w:i/>
          <w:sz w:val="19"/>
        </w:rPr>
        <w:t>Figura 2 – Diagrama de Caixa (Boxplot) do IPCA: Amostra Global e por Regimes de Inflação</w:t>
      </w:r>
    </w:p>
    <w:p>
      <w:pPr>
        <w:spacing w:before="0" w:after="100" w:line="276" w:lineRule="auto"/>
        <w:jc w:val="both"/>
      </w:pPr>
      <w:r>
        <w:rPr>
          <w:rFonts w:ascii="Arial" w:hAnsi="Arial"/>
          <w:sz w:val="23"/>
        </w:rPr>
        <w:t>O Boxplot univariado na Figura 2(A) identifica 5 outliers pelo critério de Tukey (IQR): dezembro/2019 (+1,95%), outubro/2020 (+1,72%), novembro/2020 (+1,61%), dezembro/2020 (+1,58%) e dezembro/2021 (+1,58%), correspondendo a choques de carnes e restrições de cadeias globais durante a pandemia. Na Figura 2(B), nota-se que a variabilidade da classe "Alta" é muito mais ampla do que na classe "Meta", justificando o emprego de modelos híbridos com aprendizado de máquina para modelar os resíduos.</w:t>
      </w:r>
    </w:p>
    <w:p>
      <w:pPr>
        <w:spacing w:before="14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29200" cy="33136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3_Dispersao_IPCA_Camb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3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jc w:val="center"/>
      </w:pPr>
      <w:r>
        <w:rPr>
          <w:rFonts w:ascii="Arial" w:hAnsi="Arial"/>
          <w:i/>
          <w:sz w:val="19"/>
        </w:rPr>
        <w:t>Figura 3 – Gráfico de Dispersão entre IPCA e Taxa de Câmbio (USDBRL) por Regime Nominal</w:t>
      </w:r>
    </w:p>
    <w:p>
      <w:pPr>
        <w:spacing w:before="0" w:after="100" w:line="276" w:lineRule="auto"/>
        <w:jc w:val="both"/>
      </w:pPr>
      <w:r>
        <w:rPr>
          <w:rFonts w:ascii="Arial" w:hAnsi="Arial"/>
          <w:sz w:val="23"/>
        </w:rPr>
        <w:t>O gráfico de dispersão da Figura 3 evidencia a relação positiva entre desvalorização cambial e inflação (repasse cambial). À medida que a cotação do dólar sobe, a proporção de observações no regime de "Alta" aumenta perceptivelmente, comprovando a relevância do câmbio como variável preditiva exógena.</w:t>
      </w:r>
    </w:p>
    <w:p>
      <w:pPr>
        <w:spacing w:before="14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29200" cy="33215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4_Distribuicao_Regim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jc w:val="center"/>
      </w:pPr>
      <w:r>
        <w:rPr>
          <w:rFonts w:ascii="Arial" w:hAnsi="Arial"/>
          <w:i/>
          <w:sz w:val="19"/>
        </w:rPr>
        <w:t>Figura 4 – Proporção Percentual dos Regimes Nominais de Inflação (N = 174 meses)</w:t>
      </w:r>
    </w:p>
    <w:p>
      <w:pPr>
        <w:spacing w:before="0" w:after="100" w:line="276" w:lineRule="auto"/>
        <w:jc w:val="both"/>
      </w:pPr>
      <w:r>
        <w:rPr>
          <w:rFonts w:ascii="Arial" w:hAnsi="Arial"/>
          <w:sz w:val="23"/>
        </w:rPr>
        <w:t>A Figura 4 sintetiza a predominância dos regimes: 44,25% dos meses situaram-se dentro da meta, 40,23% em patamares elevados e apenas 15,52% em deflação (composta por desonerações fiscais temporárias e contrações severas de demanda).</w:t>
      </w:r>
    </w:p>
    <w:p>
      <w:pPr>
        <w:spacing w:before="220" w:after="80" w:line="276" w:lineRule="auto"/>
        <w:jc w:val="left"/>
      </w:pPr>
      <w:r>
        <w:rPr>
          <w:rFonts w:ascii="Arial" w:hAnsi="Arial"/>
          <w:b/>
          <w:sz w:val="23"/>
        </w:rPr>
        <w:t>3.3.4 Governança, Integridade e Requisitos de Qualidade</w:t>
      </w:r>
    </w:p>
    <w:p>
      <w:pPr>
        <w:spacing w:before="0" w:after="120" w:line="276" w:lineRule="auto"/>
        <w:jc w:val="both"/>
      </w:pPr>
      <w:r>
        <w:rPr>
          <w:rFonts w:ascii="Arial" w:hAnsi="Arial"/>
          <w:sz w:val="23"/>
        </w:rPr>
        <w:t>O tratamento dos dados segue rigorosamente a Lei Geral de Proteção de Dados Pessoais (LGPD – Lei nº 13.709/2018). As séries temporais empregadas são dados macroeconômicos públicos e agregados (SGS/BACEN, IBGE, FGV e Ministério do Trabalho), sem identificadores individuais. Sob a perspectiva de engenharia de dados, garantimos: (i) prevenção estrita de vazamento prospectivo (lookahead bias); (ii) completude amostral de 100% sem lacunas no período de 2012 a 2026; e (iii) reprodutibilidade científica por meio de scripts Python automatizados.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