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Arial" w:hAnsi="Arial"/>
          <w:sz w:val="20"/>
        </w:rPr>
        <w:t>FACULDADE POLI-UPE | ESCOLA POLITÉCNICA DE PERNAMBUCO</w:t>
      </w:r>
    </w:p>
    <w:p>
      <w:pPr>
        <w:spacing w:before="0" w:after="280" w:line="276" w:lineRule="auto"/>
        <w:jc w:val="center"/>
      </w:pPr>
      <w:r>
        <w:rPr>
          <w:rFonts w:ascii="Arial" w:hAnsi="Arial"/>
          <w:sz w:val="20"/>
        </w:rPr>
        <w:t>DISCIPLINA: MINERAÇÃO DE DADOS</w:t>
      </w:r>
    </w:p>
    <w:p>
      <w:pPr>
        <w:spacing w:before="0" w:after="160" w:line="276" w:lineRule="auto"/>
        <w:jc w:val="center"/>
      </w:pPr>
      <w:r>
        <w:rPr>
          <w:rFonts w:ascii="Arial" w:hAnsi="Arial"/>
          <w:b/>
          <w:sz w:val="30"/>
        </w:rPr>
        <w:t>Previsão da Inflação Brasileira (IPCA) por Mineração de Séries Temporais: Uma Abordagem Comparativa entre Modelos Univariados e Multivariados Híbridos</w:t>
      </w:r>
    </w:p>
    <w:p>
      <w:pPr>
        <w:spacing w:before="0" w:after="320" w:line="276" w:lineRule="auto"/>
        <w:jc w:val="center"/>
      </w:pPr>
      <w:r>
        <w:rPr>
          <w:rFonts w:ascii="Arial" w:hAnsi="Arial"/>
          <w:sz w:val="21"/>
        </w:rPr>
        <w:t>Bruno Protásio | Equipe de Pesquisa em Engenharia e Ciência de Dados</w:t>
      </w:r>
    </w:p>
    <w:p>
      <w:pPr>
        <w:spacing w:before="320" w:after="120" w:line="276" w:lineRule="auto"/>
        <w:jc w:val="left"/>
      </w:pPr>
      <w:r>
        <w:rPr>
          <w:rFonts w:ascii="Arial" w:hAnsi="Arial"/>
          <w:b/>
          <w:sz w:val="26"/>
        </w:rPr>
        <w:t>1. Introdução do Projeto</w:t>
      </w:r>
    </w:p>
    <w:p>
      <w:pPr>
        <w:spacing w:before="0" w:after="100" w:line="276" w:lineRule="auto"/>
        <w:jc w:val="both"/>
      </w:pPr>
      <w:r>
        <w:rPr>
          <w:rFonts w:ascii="Arial" w:hAnsi="Arial"/>
          <w:b/>
          <w:sz w:val="23"/>
        </w:rPr>
        <w:t xml:space="preserve">Tema Central: </w:t>
      </w:r>
      <w:r>
        <w:rPr>
          <w:rFonts w:ascii="Arial" w:hAnsi="Arial"/>
          <w:sz w:val="23"/>
        </w:rPr>
        <w:t>Este projeto investiga a capacidade de previsão da inflação brasileira (IPCA) utilizando técnicas de mineração de séries temporais. Confrontamos duas estratégias: a abordagem univariada (que prevê o IPCA baseando-se apenas em seu próprio histórico) e a abordagem multivariada (que combina o histórico da inflação a variáveis macroeconômicas externas, como taxa Selic, câmbio, atividade econômica, emprego e combustíveis). Nosso objetivo é responder se a inclusão de dados externos traz ganho real de acurácia e quais indicadores econômicos são mais determinantes para antecipar a trajetória dos preços no Brasil.</w:t>
      </w:r>
    </w:p>
    <w:p>
      <w:pPr>
        <w:spacing w:before="0" w:after="100" w:line="276" w:lineRule="auto"/>
        <w:jc w:val="both"/>
      </w:pPr>
      <w:r>
        <w:rPr>
          <w:rFonts w:ascii="Arial" w:hAnsi="Arial"/>
          <w:sz w:val="23"/>
        </w:rPr>
        <w:t>A estabilidade de preços é essencial para a economia brasileira. A inflação corrói a renda das famílias, eleva os custos operacionais das empresas e aumenta as incertezas financeiras do país. O Índice Nacional de Preços ao Consumidor Amplo (IPCA), calculado mensalmente pelo IBGE, é o balizador oficial do regime de metas de inflação do Banco Central do Brasil. Por essa razão, antecipar o comportamento desse índice com precisão é uma necessidade crítica para a formulação de políticas públicas e para o planejamento financeiro corporativo.</w:t>
      </w:r>
    </w:p>
    <w:p>
      <w:pPr>
        <w:spacing w:before="260" w:after="100" w:line="276" w:lineRule="auto"/>
        <w:jc w:val="left"/>
      </w:pPr>
      <w:r>
        <w:rPr>
          <w:rFonts w:ascii="Arial" w:hAnsi="Arial"/>
          <w:b/>
          <w:sz w:val="24"/>
        </w:rPr>
        <w:t>1.1 Contextualização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3"/>
        </w:rPr>
        <w:t>No regime de metas de inflação, o Banco Central utiliza a taxa básica de juros (Selic) para conter pressões de preços. Como as decisões de juros levam entre 6 e 12 meses para surtir efeito pleno na economia, ter projeções de inflação confiáveis e tempestivas é pré-requisito fundamental para decisões assertivas.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3"/>
        </w:rPr>
        <w:t>A relevância da previsão da inflação sob a ótica da Mineração de Dados desdobra-se em três pilares práticos:</w:t>
      </w:r>
    </w:p>
    <w:p>
      <w:pPr>
        <w:spacing w:before="0" w:after="60" w:line="276" w:lineRule="auto"/>
        <w:jc w:val="both"/>
      </w:pPr>
      <w:r>
        <w:rPr>
          <w:rFonts w:ascii="Arial" w:hAnsi="Arial"/>
          <w:b/>
          <w:sz w:val="23"/>
        </w:rPr>
        <w:t xml:space="preserve">• Setor Público e Regulatório: </w:t>
      </w:r>
      <w:r>
        <w:rPr>
          <w:rFonts w:ascii="Arial" w:hAnsi="Arial"/>
          <w:sz w:val="23"/>
        </w:rPr>
        <w:t>Permite ancorar expectativas de mercado e avaliar o cumprimento das metas oficiais do Conselho Monetário Nacional (CMN);</w:t>
      </w:r>
    </w:p>
    <w:p>
      <w:pPr>
        <w:spacing w:before="0" w:after="60" w:line="276" w:lineRule="auto"/>
        <w:jc w:val="both"/>
      </w:pPr>
      <w:r>
        <w:rPr>
          <w:rFonts w:ascii="Arial" w:hAnsi="Arial"/>
          <w:b/>
          <w:sz w:val="23"/>
        </w:rPr>
        <w:t xml:space="preserve">• Empresas e Mercado Financeiro: </w:t>
      </w:r>
      <w:r>
        <w:rPr>
          <w:rFonts w:ascii="Arial" w:hAnsi="Arial"/>
          <w:sz w:val="23"/>
        </w:rPr>
        <w:t>Suporta a precificação de contratos de longo prazo, a gestão de estoques, orçamentos corporativos e ativos atrelados à inflação (como NTN-B e debêntures);</w:t>
      </w:r>
    </w:p>
    <w:p>
      <w:pPr>
        <w:spacing w:before="0" w:after="100" w:line="276" w:lineRule="auto"/>
        <w:jc w:val="both"/>
      </w:pPr>
      <w:r>
        <w:rPr>
          <w:rFonts w:ascii="Arial" w:hAnsi="Arial"/>
          <w:b/>
          <w:sz w:val="23"/>
        </w:rPr>
        <w:t xml:space="preserve">• Pesquisa e Ciência de Dados: </w:t>
      </w:r>
      <w:r>
        <w:rPr>
          <w:rFonts w:ascii="Arial" w:hAnsi="Arial"/>
          <w:sz w:val="23"/>
        </w:rPr>
        <w:t>Oferece um ambiente real e rigoroso para testar se modelos complexos de aprendizado de máquina compensam o aumento da dimensionalidade frente a modelos temporais parcimoniosos.</w:t>
      </w:r>
    </w:p>
    <w:p>
      <w:pPr>
        <w:spacing w:before="260" w:after="100" w:line="276" w:lineRule="auto"/>
        <w:jc w:val="left"/>
      </w:pPr>
      <w:r>
        <w:rPr>
          <w:rFonts w:ascii="Arial" w:hAnsi="Arial"/>
          <w:b/>
          <w:sz w:val="24"/>
        </w:rPr>
        <w:t>1.2 Descrição do Problema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3"/>
        </w:rPr>
        <w:t>A previsão da inflação enfrenta um dilema clássico de mineração de dados: avaliar se os preços são guiados principalmente por sua própria inércia temporal ou se a inclusão de fatores externos traz sinais antecipados cruciais:</w:t>
      </w:r>
    </w:p>
    <w:p>
      <w:pPr>
        <w:spacing w:before="0" w:after="60" w:line="276" w:lineRule="auto"/>
        <w:jc w:val="both"/>
      </w:pPr>
      <w:r>
        <w:rPr>
          <w:rFonts w:ascii="Arial" w:hAnsi="Arial"/>
          <w:b/>
          <w:sz w:val="23"/>
        </w:rPr>
        <w:t xml:space="preserve">1. Abordagem Univariada (Apenas Histórico): </w:t>
      </w:r>
      <w:r>
        <w:rPr>
          <w:rFonts w:ascii="Arial" w:hAnsi="Arial"/>
          <w:sz w:val="23"/>
        </w:rPr>
        <w:t>Explica o IPCA unicamente por defasagens passadas e sazonalidade, partindo da premissa de que o histórico recente sintetiza as informações mais relevantes.</w:t>
      </w:r>
    </w:p>
    <w:p>
      <w:pPr>
        <w:spacing w:before="0" w:after="80" w:line="276" w:lineRule="auto"/>
        <w:jc w:val="both"/>
      </w:pPr>
      <w:r>
        <w:rPr>
          <w:rFonts w:ascii="Arial" w:hAnsi="Arial"/>
          <w:b/>
          <w:sz w:val="23"/>
        </w:rPr>
        <w:t xml:space="preserve">2. Abordagem Multivariada (Histórico + Fatores Externos): </w:t>
      </w:r>
      <w:r>
        <w:rPr>
          <w:rFonts w:ascii="Arial" w:hAnsi="Arial"/>
          <w:sz w:val="23"/>
        </w:rPr>
        <w:t>Combina a inércia temporal a múltiplos indicadores macroeconômicos de preços setoriais, moeda, câmbio, emprego e energia.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3"/>
        </w:rPr>
        <w:t>Contudo, adicionar variáveis em excesso pode introduzir ruído e multicolinearidade, prejudicando os modelos. Por isso, a investigação deve responder não só se a abordagem multivariada é superior, mas quais grupos de variáveis realmente agregam valor preditivo.</w:t>
      </w:r>
    </w:p>
    <w:p>
      <w:pPr>
        <w:spacing w:before="0" w:after="120" w:line="276" w:lineRule="auto"/>
        <w:jc w:val="both"/>
      </w:pPr>
      <w:r>
        <w:rPr>
          <w:rFonts w:ascii="Arial" w:hAnsi="Arial"/>
          <w:b/>
          <w:sz w:val="23"/>
        </w:rPr>
        <w:t xml:space="preserve">Pergunta Central de Pesquisa: </w:t>
      </w:r>
      <w:r>
        <w:rPr>
          <w:rFonts w:ascii="Arial" w:hAnsi="Arial"/>
          <w:sz w:val="23"/>
        </w:rPr>
        <w:t>"A utilização de variáveis macroeconômicas exógenas melhora a acurácia da previsão do IPCA em relação a modelos puramente univariados? Quais grupos de indicadores possuem maior capacidade de antecipar a inflação brasileira?"</w:t>
      </w:r>
    </w:p>
    <w:p>
      <w:pPr>
        <w:spacing w:before="260" w:after="100" w:line="276" w:lineRule="auto"/>
        <w:jc w:val="left"/>
      </w:pPr>
      <w:r>
        <w:rPr>
          <w:rFonts w:ascii="Arial" w:hAnsi="Arial"/>
          <w:b/>
          <w:sz w:val="24"/>
        </w:rPr>
        <w:t>1.3 Objetivos</w:t>
      </w:r>
    </w:p>
    <w:p>
      <w:pPr>
        <w:spacing w:before="200" w:after="80" w:line="276" w:lineRule="auto"/>
        <w:jc w:val="left"/>
      </w:pPr>
      <w:r>
        <w:rPr>
          <w:rFonts w:ascii="Arial" w:hAnsi="Arial"/>
          <w:b/>
          <w:sz w:val="23"/>
        </w:rPr>
        <w:t>1.3.1 Objetivo Geral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3"/>
        </w:rPr>
        <w:t>Desenvolver, comparar e validar modelos preditivos de mineração de dados em séries temporais para a previsão do IPCA brasileiro, confrontando o desempenho das abordagens univariada e multivariada e identificando os atributos macroeconômicos mais relevantes.</w:t>
      </w:r>
    </w:p>
    <w:p>
      <w:pPr>
        <w:spacing w:before="200" w:after="80" w:line="276" w:lineRule="auto"/>
        <w:jc w:val="left"/>
      </w:pPr>
      <w:r>
        <w:rPr>
          <w:rFonts w:ascii="Arial" w:hAnsi="Arial"/>
          <w:b/>
          <w:sz w:val="23"/>
        </w:rPr>
        <w:t>1.3.2 Objetivos Específicos</w:t>
      </w:r>
    </w:p>
    <w:p>
      <w:pPr>
        <w:spacing w:before="0" w:after="60" w:line="276" w:lineRule="auto"/>
        <w:jc w:val="both"/>
      </w:pPr>
      <w:r>
        <w:rPr>
          <w:rFonts w:ascii="Arial" w:hAnsi="Arial"/>
          <w:b/>
          <w:sz w:val="23"/>
        </w:rPr>
        <w:t xml:space="preserve">1. Engenharia de Dados: </w:t>
      </w:r>
      <w:r>
        <w:rPr>
          <w:rFonts w:ascii="Arial" w:hAnsi="Arial"/>
          <w:sz w:val="23"/>
        </w:rPr>
        <w:t>Coletar, higienizar e consolidar a série histórica mensal do IPCA e de 28 variáveis exógenas de março de 2012 a agosto de 2026 via API oficial do SGS/Banco Central;</w:t>
      </w:r>
    </w:p>
    <w:p>
      <w:pPr>
        <w:spacing w:before="0" w:after="60" w:line="276" w:lineRule="auto"/>
        <w:jc w:val="both"/>
      </w:pPr>
      <w:r>
        <w:rPr>
          <w:rFonts w:ascii="Arial" w:hAnsi="Arial"/>
          <w:b/>
          <w:sz w:val="23"/>
        </w:rPr>
        <w:t xml:space="preserve">2. Categorização Setorial: </w:t>
      </w:r>
      <w:r>
        <w:rPr>
          <w:rFonts w:ascii="Arial" w:hAnsi="Arial"/>
          <w:sz w:val="23"/>
        </w:rPr>
        <w:t>Agrupar as variáveis exógenas em quatro dimensões macroeconômicas: Índices de Preços, Setor Financeiro/Câmbio, Atividade/Emprego e Energia/Combustíveis;</w:t>
      </w:r>
    </w:p>
    <w:p>
      <w:pPr>
        <w:spacing w:before="0" w:after="60" w:line="276" w:lineRule="auto"/>
        <w:jc w:val="both"/>
      </w:pPr>
      <w:r>
        <w:rPr>
          <w:rFonts w:ascii="Arial" w:hAnsi="Arial"/>
          <w:b/>
          <w:sz w:val="23"/>
        </w:rPr>
        <w:t xml:space="preserve">3. Modelagem de Referência (Baseline): </w:t>
      </w:r>
      <w:r>
        <w:rPr>
          <w:rFonts w:ascii="Arial" w:hAnsi="Arial"/>
          <w:sz w:val="23"/>
        </w:rPr>
        <w:t>Calibrar modelos univariados clássicos (ARIMA) para estabelecer a base mínima de comparação;</w:t>
      </w:r>
    </w:p>
    <w:p>
      <w:pPr>
        <w:spacing w:before="0" w:after="60" w:line="276" w:lineRule="auto"/>
        <w:jc w:val="both"/>
      </w:pPr>
      <w:r>
        <w:rPr>
          <w:rFonts w:ascii="Arial" w:hAnsi="Arial"/>
          <w:b/>
          <w:sz w:val="23"/>
        </w:rPr>
        <w:t xml:space="preserve">4. Modelagem Multivariada e Híbrida: </w:t>
      </w:r>
      <w:r>
        <w:rPr>
          <w:rFonts w:ascii="Arial" w:hAnsi="Arial"/>
          <w:sz w:val="23"/>
        </w:rPr>
        <w:t>Implementar modelos lineares (ARIMAX, Lasso) e arquiteturas híbridas (ARIMAX + Random Forest) que modelam conjuntamente a tendência linear e os resíduos não lineares;</w:t>
      </w:r>
    </w:p>
    <w:p>
      <w:pPr>
        <w:spacing w:before="0" w:after="60" w:line="276" w:lineRule="auto"/>
        <w:jc w:val="both"/>
      </w:pPr>
      <w:r>
        <w:rPr>
          <w:rFonts w:ascii="Arial" w:hAnsi="Arial"/>
          <w:b/>
          <w:sz w:val="23"/>
        </w:rPr>
        <w:t xml:space="preserve">5. Seleção Inteligente de Atributos: </w:t>
      </w:r>
      <w:r>
        <w:rPr>
          <w:rFonts w:ascii="Arial" w:hAnsi="Arial"/>
          <w:sz w:val="23"/>
        </w:rPr>
        <w:t>Aplicar meta-heurísticas bioinspiradas (Algoritmo Genético - GA e Otimização por Enxame de Partículas - PSO) para encontrar os subconjuntos ótimos de variáveis;</w:t>
      </w:r>
    </w:p>
    <w:p>
      <w:pPr>
        <w:spacing w:before="0" w:after="120" w:line="276" w:lineRule="auto"/>
        <w:jc w:val="both"/>
      </w:pPr>
      <w:r>
        <w:rPr>
          <w:rFonts w:ascii="Arial" w:hAnsi="Arial"/>
          <w:b/>
          <w:sz w:val="23"/>
        </w:rPr>
        <w:t xml:space="preserve">6. Validação Temporal Walk-Forward: </w:t>
      </w:r>
      <w:r>
        <w:rPr>
          <w:rFonts w:ascii="Arial" w:hAnsi="Arial"/>
          <w:sz w:val="23"/>
        </w:rPr>
        <w:t>Avaliar as previsões com divisão sequencial 80% treino e 20% teste em horizonte de 1 passo à frente, prevenindo rigorosamente o vazamento de dados futuros (lookahead bias).</w:t>
      </w:r>
    </w:p>
    <w:p>
      <w:pPr>
        <w:spacing w:before="260" w:after="100" w:line="276" w:lineRule="auto"/>
        <w:jc w:val="left"/>
      </w:pPr>
      <w:r>
        <w:rPr>
          <w:rFonts w:ascii="Arial" w:hAnsi="Arial"/>
          <w:b/>
          <w:sz w:val="24"/>
        </w:rPr>
        <w:t>1.4 Justificativa e Impacto</w:t>
      </w:r>
    </w:p>
    <w:p>
      <w:pPr>
        <w:spacing w:before="0" w:after="100" w:line="276" w:lineRule="auto"/>
        <w:jc w:val="both"/>
      </w:pPr>
      <w:r>
        <w:rPr>
          <w:rFonts w:ascii="Arial" w:hAnsi="Arial"/>
          <w:sz w:val="23"/>
        </w:rPr>
        <w:t>Compreender a previsibilidade da inflação contribui diretamente para a redução de riscos econômicos no país. Para os agentes econômicos, antecipar variações nos preços viabiliza decisões financeiras conscientes e reduz custos de incerteza. Para a ciência de dados, este projeto preenche uma lacuna prática ao comparar sistematicamente modelos lineares e não lineares sob rigoroso esquema de validação walk-forward em uma economia emergente caracterizada por volatilidade e choques exógenos frequentes.</w:t>
      </w:r>
    </w:p>
    <w:p>
      <w:pPr>
        <w:spacing w:before="260" w:after="100" w:line="276" w:lineRule="auto"/>
        <w:jc w:val="left"/>
      </w:pPr>
      <w:r>
        <w:rPr>
          <w:rFonts w:ascii="Arial" w:hAnsi="Arial"/>
          <w:b/>
          <w:sz w:val="24"/>
        </w:rPr>
        <w:t>1.5 Escopo Negativo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3"/>
        </w:rPr>
        <w:t>Para manter o foco metodológico, este trabalho delimita claramente o que não faz parte do seu escopo:</w:t>
      </w:r>
    </w:p>
    <w:p>
      <w:pPr>
        <w:spacing w:before="0" w:after="60" w:line="276" w:lineRule="auto"/>
        <w:jc w:val="both"/>
      </w:pPr>
      <w:r>
        <w:rPr>
          <w:rFonts w:ascii="Arial" w:hAnsi="Arial"/>
          <w:b/>
          <w:sz w:val="23"/>
        </w:rPr>
        <w:t xml:space="preserve">• Previsões em Alta Frequência: </w:t>
      </w:r>
      <w:r>
        <w:rPr>
          <w:rFonts w:ascii="Arial" w:hAnsi="Arial"/>
          <w:sz w:val="23"/>
        </w:rPr>
        <w:t>O estudo analisa dados mensais e não desenvolve previsões diárias ou intradiárias de preços;</w:t>
      </w:r>
    </w:p>
    <w:p>
      <w:pPr>
        <w:spacing w:before="0" w:after="60" w:line="276" w:lineRule="auto"/>
        <w:jc w:val="both"/>
      </w:pPr>
      <w:r>
        <w:rPr>
          <w:rFonts w:ascii="Arial" w:hAnsi="Arial"/>
          <w:b/>
          <w:sz w:val="23"/>
        </w:rPr>
        <w:t xml:space="preserve">• Análise Microeconômica Individual: </w:t>
      </w:r>
      <w:r>
        <w:rPr>
          <w:rFonts w:ascii="Arial" w:hAnsi="Arial"/>
          <w:sz w:val="23"/>
        </w:rPr>
        <w:t>Não são avaliadas cestas de consumo de indivíduos ou domicílios específicos;</w:t>
      </w:r>
    </w:p>
    <w:p>
      <w:pPr>
        <w:spacing w:before="0" w:after="120" w:line="276" w:lineRule="auto"/>
        <w:jc w:val="both"/>
      </w:pPr>
      <w:r>
        <w:rPr>
          <w:rFonts w:ascii="Arial" w:hAnsi="Arial"/>
          <w:b/>
          <w:sz w:val="23"/>
        </w:rPr>
        <w:t xml:space="preserve">• Recomendação de Políticas Públicas: </w:t>
      </w:r>
      <w:r>
        <w:rPr>
          <w:rFonts w:ascii="Arial" w:hAnsi="Arial"/>
          <w:sz w:val="23"/>
        </w:rPr>
        <w:t>O objetivo é puramente preditivo e comparativo, sem proposição prescritiva de política monetária.</w:t>
      </w:r>
    </w:p>
    <w:p>
      <w:pPr>
        <w:spacing w:before="320" w:after="120" w:line="276" w:lineRule="auto"/>
        <w:jc w:val="left"/>
      </w:pPr>
      <w:r>
        <w:rPr>
          <w:rFonts w:ascii="Arial" w:hAnsi="Arial"/>
          <w:b/>
          <w:sz w:val="26"/>
        </w:rPr>
        <w:t>2. Fundamentação Teórica e Trabalhos Relacionados</w:t>
      </w:r>
    </w:p>
    <w:p>
      <w:pPr>
        <w:spacing w:before="260" w:after="100" w:line="276" w:lineRule="auto"/>
        <w:jc w:val="left"/>
      </w:pPr>
      <w:r>
        <w:rPr>
          <w:rFonts w:ascii="Arial" w:hAnsi="Arial"/>
          <w:b/>
          <w:sz w:val="24"/>
        </w:rPr>
        <w:t>2.1 Dinâmica Macroeconômica da Inflação no Brasil</w:t>
      </w:r>
    </w:p>
    <w:p>
      <w:pPr>
        <w:spacing w:before="0" w:after="100" w:line="276" w:lineRule="auto"/>
        <w:jc w:val="both"/>
      </w:pPr>
      <w:r>
        <w:rPr>
          <w:rFonts w:ascii="Arial" w:hAnsi="Arial"/>
          <w:sz w:val="23"/>
        </w:rPr>
        <w:t>A dinâmica dos preços no Brasil é orientada por três canais fundamentais: (i) a inércia inflacionária, que propaga variações passadas por contratos indexados; (ii) os choques de oferta e custos, com destaque para a oscilação do dólar (repasse cambial) e cotações de commodities energéticas; e (iii) as pressões de demanda agregada, refletidas no nível de desemprego e na atividade econômica. Essa pluralidade de estímulos justifica testar se conjuntos específicos de variáveis agregam poder preditivo superior ao simples histórico do índice.</w:t>
      </w:r>
    </w:p>
    <w:p>
      <w:pPr>
        <w:spacing w:before="260" w:after="100" w:line="276" w:lineRule="auto"/>
        <w:jc w:val="left"/>
      </w:pPr>
      <w:r>
        <w:rPr>
          <w:rFonts w:ascii="Arial" w:hAnsi="Arial"/>
          <w:b/>
          <w:sz w:val="24"/>
        </w:rPr>
        <w:t>2.2 Mineração de Séries Temporais e Seleção de Atributos</w:t>
      </w:r>
    </w:p>
    <w:p>
      <w:pPr>
        <w:spacing w:before="0" w:after="100" w:line="276" w:lineRule="auto"/>
        <w:jc w:val="both"/>
      </w:pPr>
      <w:r>
        <w:rPr>
          <w:rFonts w:ascii="Arial" w:hAnsi="Arial"/>
          <w:sz w:val="23"/>
        </w:rPr>
        <w:t>Séries temporais econômicas contêm desafios particulares: tendência estocástica, quebras estruturais e relacionamentos lineares e não lineares simultâneos. Além disso, incluir dezenas de covariáveis macroeconômicas pode saturar os modelos (a chamada maldição da dimensionalidade). Por isso, o uso de meta-heurísticas de busca estocástica, como Algoritmos Genéticos (GA) e Enxame de Partículas (PSO), destaca-se na literatura como solução eficiente para identificar subconjuntos de variáveis compactos e preditivos.</w:t>
      </w:r>
    </w:p>
    <w:p>
      <w:pPr>
        <w:spacing w:before="260" w:after="100" w:line="276" w:lineRule="auto"/>
        <w:jc w:val="left"/>
      </w:pPr>
      <w:r>
        <w:rPr>
          <w:rFonts w:ascii="Arial" w:hAnsi="Arial"/>
          <w:b/>
          <w:sz w:val="24"/>
        </w:rPr>
        <w:t>2.3 Trabalhos Relacionados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3"/>
        </w:rPr>
        <w:t>A literatura científica sobre modelagem da inflação organiza-se em três eixos principais:</w:t>
      </w:r>
    </w:p>
    <w:p>
      <w:pPr>
        <w:spacing w:before="0" w:after="60" w:line="276" w:lineRule="auto"/>
        <w:jc w:val="both"/>
      </w:pPr>
      <w:r>
        <w:rPr>
          <w:rFonts w:ascii="Arial" w:hAnsi="Arial"/>
          <w:b/>
          <w:sz w:val="23"/>
        </w:rPr>
        <w:t xml:space="preserve">1. Modelos Lineares Tradicionais: </w:t>
      </w:r>
      <w:r>
        <w:rPr>
          <w:rFonts w:ascii="Arial" w:hAnsi="Arial"/>
          <w:sz w:val="23"/>
        </w:rPr>
        <w:t>A metodologia clássica de Box e Jenkins [1] (ARIMA e SARIMA) permanece como a base de referência para capturar autocorrelação temporal e sazonalidade em séries de preços;</w:t>
      </w:r>
    </w:p>
    <w:p>
      <w:pPr>
        <w:spacing w:before="0" w:after="60" w:line="276" w:lineRule="auto"/>
        <w:jc w:val="both"/>
      </w:pPr>
      <w:r>
        <w:rPr>
          <w:rFonts w:ascii="Arial" w:hAnsi="Arial"/>
          <w:b/>
          <w:sz w:val="23"/>
        </w:rPr>
        <w:t xml:space="preserve">2. Arquiteturas Híbridas (Linear + Não Linear): </w:t>
      </w:r>
      <w:r>
        <w:rPr>
          <w:rFonts w:ascii="Arial" w:hAnsi="Arial"/>
          <w:sz w:val="23"/>
        </w:rPr>
        <w:t>Zhang [3] propôs a combinação entre ARIMA (para capturar a estrutura linear) e Redes Neurais / Random Forest (para modelar os resíduos não lineares), demonstrando reduções substanciais de erro em comparação a modelos isolados [4];</w:t>
      </w:r>
    </w:p>
    <w:p>
      <w:pPr>
        <w:spacing w:before="0" w:after="120" w:line="276" w:lineRule="auto"/>
        <w:jc w:val="both"/>
      </w:pPr>
      <w:r>
        <w:rPr>
          <w:rFonts w:ascii="Arial" w:hAnsi="Arial"/>
          <w:b/>
          <w:sz w:val="23"/>
        </w:rPr>
        <w:t xml:space="preserve">3. Meta-heurísticas na Seleção de Atributos: </w:t>
      </w:r>
      <w:r>
        <w:rPr>
          <w:rFonts w:ascii="Arial" w:hAnsi="Arial"/>
          <w:sz w:val="23"/>
        </w:rPr>
        <w:t>Estudos recentes utilizam Algoritmos Genéticos e PSO para selecionar variáveis macroeconômicas em bases de alta dimensionalidade, provando que modelos com 5 a 7 atributos bem selecionados superam modelos com todas as variáveis [5, 6].</w:t>
      </w:r>
    </w:p>
    <w:p>
      <w:pPr>
        <w:spacing w:before="320" w:after="120" w:line="276" w:lineRule="auto"/>
        <w:jc w:val="left"/>
      </w:pPr>
      <w:r>
        <w:rPr>
          <w:rFonts w:ascii="Arial" w:hAnsi="Arial"/>
          <w:b/>
          <w:sz w:val="26"/>
        </w:rPr>
        <w:t>3. Planejamento, Governança e Dados do Projeto</w:t>
      </w:r>
    </w:p>
    <w:p>
      <w:pPr>
        <w:spacing w:before="260" w:after="100" w:line="276" w:lineRule="auto"/>
        <w:jc w:val="left"/>
      </w:pPr>
      <w:r>
        <w:rPr>
          <w:rFonts w:ascii="Arial" w:hAnsi="Arial"/>
          <w:b/>
          <w:sz w:val="24"/>
        </w:rPr>
        <w:t>3.1 Stakeholders do Projeto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3"/>
        </w:rPr>
        <w:t>O desenvolvimento deste trabalho conecta-se a quatro grupos principais de interesse:</w:t>
      </w:r>
    </w:p>
    <w:p>
      <w:pPr>
        <w:spacing w:before="0" w:after="60" w:line="276" w:lineRule="auto"/>
        <w:jc w:val="both"/>
      </w:pPr>
      <w:r>
        <w:rPr>
          <w:rFonts w:ascii="Arial" w:hAnsi="Arial"/>
          <w:b/>
          <w:sz w:val="23"/>
        </w:rPr>
        <w:t xml:space="preserve">• Comunidade Acadêmica: </w:t>
      </w:r>
      <w:r>
        <w:rPr>
          <w:rFonts w:ascii="Arial" w:hAnsi="Arial"/>
          <w:sz w:val="23"/>
        </w:rPr>
        <w:t>Estudantes e pesquisadores de ciência de dados aplicados a problemas econômicos reais;</w:t>
      </w:r>
    </w:p>
    <w:p>
      <w:pPr>
        <w:spacing w:before="0" w:after="60" w:line="276" w:lineRule="auto"/>
        <w:jc w:val="both"/>
      </w:pPr>
      <w:r>
        <w:rPr>
          <w:rFonts w:ascii="Arial" w:hAnsi="Arial"/>
          <w:b/>
          <w:sz w:val="23"/>
        </w:rPr>
        <w:t xml:space="preserve">• Mercado Financeiro e Investidores: </w:t>
      </w:r>
      <w:r>
        <w:rPr>
          <w:rFonts w:ascii="Arial" w:hAnsi="Arial"/>
          <w:sz w:val="23"/>
        </w:rPr>
        <w:t>Gestores de fundos e analistas de risco que necessitam de projeções para títulos indexados à inflação (NTN-B/IPCA+);</w:t>
      </w:r>
    </w:p>
    <w:p>
      <w:pPr>
        <w:spacing w:before="0" w:after="60" w:line="276" w:lineRule="auto"/>
        <w:jc w:val="both"/>
      </w:pPr>
      <w:r>
        <w:rPr>
          <w:rFonts w:ascii="Arial" w:hAnsi="Arial"/>
          <w:b/>
          <w:sz w:val="23"/>
        </w:rPr>
        <w:t xml:space="preserve">• Setor Corporativo: </w:t>
      </w:r>
      <w:r>
        <w:rPr>
          <w:rFonts w:ascii="Arial" w:hAnsi="Arial"/>
          <w:sz w:val="23"/>
        </w:rPr>
        <w:t>Departamentos de planejamento orçamentário que utilizam projeções do IPCA para reajustes salariais e contratos de fornecimento;</w:t>
      </w:r>
    </w:p>
    <w:p>
      <w:pPr>
        <w:spacing w:before="0" w:after="120" w:line="276" w:lineRule="auto"/>
        <w:jc w:val="both"/>
      </w:pPr>
      <w:r>
        <w:rPr>
          <w:rFonts w:ascii="Arial" w:hAnsi="Arial"/>
          <w:b/>
          <w:sz w:val="23"/>
        </w:rPr>
        <w:t xml:space="preserve">• Setor Público: </w:t>
      </w:r>
      <w:r>
        <w:rPr>
          <w:rFonts w:ascii="Arial" w:hAnsi="Arial"/>
          <w:sz w:val="23"/>
        </w:rPr>
        <w:t>Órgãos governamentais e formuladores de políticas públicas que monitoram a evolução de preços.</w:t>
      </w:r>
    </w:p>
    <w:p>
      <w:pPr>
        <w:spacing w:before="260" w:after="100" w:line="276" w:lineRule="auto"/>
        <w:jc w:val="left"/>
      </w:pPr>
      <w:r>
        <w:rPr>
          <w:rFonts w:ascii="Arial" w:hAnsi="Arial"/>
          <w:b/>
          <w:sz w:val="24"/>
        </w:rPr>
        <w:t>3.2 Base de Dados e Contextualização Macroeconômica</w:t>
      </w:r>
    </w:p>
    <w:p>
      <w:pPr>
        <w:spacing w:before="0" w:after="100" w:line="276" w:lineRule="auto"/>
        <w:jc w:val="both"/>
      </w:pPr>
      <w:r>
        <w:rPr>
          <w:rFonts w:ascii="Arial" w:hAnsi="Arial"/>
          <w:sz w:val="23"/>
        </w:rPr>
        <w:t>A base de dados empírica foi construída por meio da coleta automatizada de séries temporais oficiais disponibilizadas na API pública do Sistema Gerenciador de Séries Temporais do Banco Central (SGS/BACEN). O horizonte histórico abrange observações mensais contínuas (frequência Month Start - MS) de março de 2012 a agosto de 2026, totalizando 174 meses sem lacunas amostrais.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3"/>
        </w:rPr>
        <w:t>O conjunto de dados consolida 1 variável dependente alvo (IPCA) e 28 variáveis exógenas (preditoras), estruturadas em quatro dimensões macroeconômicas funcionais da economia brasileira:</w:t>
      </w:r>
    </w:p>
    <w:p>
      <w:pPr>
        <w:spacing w:before="0" w:after="60" w:line="276" w:lineRule="auto"/>
        <w:jc w:val="both"/>
      </w:pPr>
      <w:r>
        <w:rPr>
          <w:rFonts w:ascii="Arial" w:hAnsi="Arial"/>
          <w:b/>
          <w:sz w:val="23"/>
        </w:rPr>
        <w:t xml:space="preserve">• Índices de Preços e Desagregações Setoriais (11 variáveis): </w:t>
      </w:r>
      <w:r>
        <w:rPr>
          <w:rFonts w:ascii="Arial" w:hAnsi="Arial"/>
          <w:sz w:val="23"/>
        </w:rPr>
        <w:t>Subíndices do IPCA (Alimentação, Transportes, Habitação, Saúde, Vestuário, Educação e Despesas Pessoais) e índices gerais de preços (INPC, IGP-M, IGP-DI e IPC-BR);</w:t>
      </w:r>
    </w:p>
    <w:p>
      <w:pPr>
        <w:spacing w:before="0" w:after="60" w:line="276" w:lineRule="auto"/>
        <w:jc w:val="both"/>
      </w:pPr>
      <w:r>
        <w:rPr>
          <w:rFonts w:ascii="Arial" w:hAnsi="Arial"/>
          <w:b/>
          <w:sz w:val="23"/>
        </w:rPr>
        <w:t xml:space="preserve">• Setor Financeiro, Moeda e Câmbio (3 variáveis): </w:t>
      </w:r>
      <w:r>
        <w:rPr>
          <w:rFonts w:ascii="Arial" w:hAnsi="Arial"/>
          <w:sz w:val="23"/>
        </w:rPr>
        <w:t>Taxa básica de juros (Selic Over), taxa de câmbio média PTAX (USDBRL) e reservas internacionais;</w:t>
      </w:r>
    </w:p>
    <w:p>
      <w:pPr>
        <w:spacing w:before="0" w:after="60" w:line="276" w:lineRule="auto"/>
        <w:jc w:val="both"/>
      </w:pPr>
      <w:r>
        <w:rPr>
          <w:rFonts w:ascii="Arial" w:hAnsi="Arial"/>
          <w:b/>
          <w:sz w:val="23"/>
        </w:rPr>
        <w:t xml:space="preserve">• Atividade Econômica e Mercado de Trabalho (7 variáveis): </w:t>
      </w:r>
      <w:r>
        <w:rPr>
          <w:rFonts w:ascii="Arial" w:hAnsi="Arial"/>
          <w:sz w:val="23"/>
        </w:rPr>
        <w:t>PIB Mensal a preços correntes, taxa de desocupação (PNAD Contínua), salário mínimo nacional, estoques de empregos formais ativos do CAGED (Total, Agropecuária e Construção Civil) e produção física de ovos;</w:t>
      </w:r>
    </w:p>
    <w:p>
      <w:pPr>
        <w:spacing w:before="0" w:after="100" w:line="276" w:lineRule="auto"/>
        <w:jc w:val="both"/>
      </w:pPr>
      <w:r>
        <w:rPr>
          <w:rFonts w:ascii="Arial" w:hAnsi="Arial"/>
          <w:b/>
          <w:sz w:val="23"/>
        </w:rPr>
        <w:t xml:space="preserve">• Energia e Combustíveis (6 variáveis): </w:t>
      </w:r>
      <w:r>
        <w:rPr>
          <w:rFonts w:ascii="Arial" w:hAnsi="Arial"/>
          <w:sz w:val="23"/>
        </w:rPr>
        <w:t>Volume de refino de derivados de petróleo, consumo aparente de gasolina automotiva, consumo de óleo combustível e consumo faturado de energia elétrica (Comercial, Residencial e Total).</w:t>
      </w:r>
    </w:p>
    <w:p>
      <w:pPr>
        <w:spacing w:before="0" w:after="120" w:line="276" w:lineRule="auto"/>
        <w:jc w:val="both"/>
      </w:pPr>
      <w:r>
        <w:rPr>
          <w:rFonts w:ascii="Arial" w:hAnsi="Arial"/>
          <w:sz w:val="23"/>
        </w:rPr>
        <w:t>Para evitar redundância de inventários no texto, a especificação técnica completa de cada variável (código SGS, unidade, teste de estacionariedade ADF e seleção por meta-heurísticas) está detalhada de forma consolidada no Dicionário de Dados Final (Tabela 2), apresentado na Seção 3.4.4 após a descrição dos procedimentos de pré-processamento.</w:t>
      </w:r>
    </w:p>
    <w:p>
      <w:pPr>
        <w:spacing w:before="200" w:after="80" w:line="276" w:lineRule="auto"/>
        <w:jc w:val="left"/>
      </w:pPr>
      <w:r>
        <w:rPr>
          <w:rFonts w:ascii="Arial" w:hAnsi="Arial"/>
          <w:b/>
          <w:sz w:val="23"/>
        </w:rPr>
        <w:t>3.2.1 Delimitação Temporal e Justificativa Metodológica (2012 a 2026)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3"/>
        </w:rPr>
        <w:t>A escolha de março de 2012 como ponto inicial do painel fundamenta-se em três critérios metodológicos rigorosos:</w:t>
      </w:r>
    </w:p>
    <w:p>
      <w:pPr>
        <w:spacing w:before="0" w:after="60" w:line="276" w:lineRule="auto"/>
        <w:jc w:val="both"/>
      </w:pPr>
      <w:r>
        <w:rPr>
          <w:rFonts w:ascii="Arial" w:hAnsi="Arial"/>
          <w:b/>
          <w:sz w:val="23"/>
        </w:rPr>
        <w:t xml:space="preserve">1. Transição da Medição do Desemprego pelo IBGE: </w:t>
      </w:r>
      <w:r>
        <w:rPr>
          <w:rFonts w:ascii="Arial" w:hAnsi="Arial"/>
          <w:sz w:val="23"/>
        </w:rPr>
        <w:t>Em março de 2012, o IBGE implementou a Pesquisa Nacional por Amostra de Domicílios Contínua (PNAD Contínua), substituindo a antiga Pesquisa Mensal de Emprego (PME), restrita a 6 regiões metropolitanas. Usar dados anteriores geraria quebra estrutural severa na série de emprego;</w:t>
      </w:r>
    </w:p>
    <w:p>
      <w:pPr>
        <w:spacing w:before="0" w:after="60" w:line="276" w:lineRule="auto"/>
        <w:jc w:val="both"/>
      </w:pPr>
      <w:r>
        <w:rPr>
          <w:rFonts w:ascii="Arial" w:hAnsi="Arial"/>
          <w:b/>
          <w:sz w:val="23"/>
        </w:rPr>
        <w:t xml:space="preserve">2. Nova Ponderação da Cesta do IPCA: </w:t>
      </w:r>
      <w:r>
        <w:rPr>
          <w:rFonts w:ascii="Arial" w:hAnsi="Arial"/>
          <w:sz w:val="23"/>
        </w:rPr>
        <w:t>Em janeiro de 2012, o IBGE atualizou os pesos de consumo com base na POF 2008-2009, alterando a composição dos gastos das famílias brasileiras;</w:t>
      </w:r>
    </w:p>
    <w:p>
      <w:pPr>
        <w:spacing w:before="0" w:after="120" w:line="276" w:lineRule="auto"/>
        <w:jc w:val="both"/>
      </w:pPr>
      <w:r>
        <w:rPr>
          <w:rFonts w:ascii="Arial" w:hAnsi="Arial"/>
          <w:b/>
          <w:sz w:val="23"/>
        </w:rPr>
        <w:t xml:space="preserve">3. Painel Balanceado no SGS/BACEN: </w:t>
      </w:r>
      <w:r>
        <w:rPr>
          <w:rFonts w:ascii="Arial" w:hAnsi="Arial"/>
          <w:sz w:val="23"/>
        </w:rPr>
        <w:t>Diversas séries desagregadas do Banco Central só passaram a ser apuradas de maneira contínua e sem interrupções a partir de 2012.</w:t>
      </w:r>
    </w:p>
    <w:p>
      <w:pPr>
        <w:spacing w:before="260" w:after="100" w:line="276" w:lineRule="auto"/>
        <w:jc w:val="left"/>
      </w:pPr>
      <w:r>
        <w:rPr>
          <w:rFonts w:ascii="Arial" w:hAnsi="Arial"/>
          <w:b/>
          <w:sz w:val="24"/>
        </w:rPr>
        <w:t>3.3 Análise Exploratória dos Dados e Caracterização dos Atributos</w:t>
      </w:r>
    </w:p>
    <w:p>
      <w:pPr>
        <w:spacing w:before="0" w:after="100" w:line="276" w:lineRule="auto"/>
        <w:jc w:val="both"/>
      </w:pPr>
      <w:r>
        <w:rPr>
          <w:rFonts w:ascii="Arial" w:hAnsi="Arial"/>
          <w:sz w:val="23"/>
        </w:rPr>
        <w:t>A análise exploratória de dados (EDA) avalia a distribuição dos valores, a presença de assimetria, a dispersão estatística e os valores extremos (outliers) da série histórica antes da calibração dos modelos preditivos. Para atender aos critérios metodológicos da disciplina, selecionamos e caracterizamos um atributo contínuo numérico primordial e um atributo categórico nominal institucionalmente fundamentado.</w:t>
      </w:r>
    </w:p>
    <w:p>
      <w:pPr>
        <w:spacing w:before="200" w:after="80" w:line="276" w:lineRule="auto"/>
        <w:jc w:val="left"/>
      </w:pPr>
      <w:r>
        <w:rPr>
          <w:rFonts w:ascii="Arial" w:hAnsi="Arial"/>
          <w:b/>
          <w:sz w:val="23"/>
        </w:rPr>
        <w:t>3.3.1 Seleção e Justificativa dos Atributos Numérico e Nominal</w:t>
      </w:r>
    </w:p>
    <w:p>
      <w:pPr>
        <w:spacing w:before="0" w:after="60" w:line="276" w:lineRule="auto"/>
        <w:jc w:val="both"/>
      </w:pPr>
      <w:r>
        <w:rPr>
          <w:rFonts w:ascii="Arial" w:hAnsi="Arial"/>
          <w:b/>
          <w:sz w:val="23"/>
        </w:rPr>
        <w:t xml:space="preserve">1. Atributo Numérico Contínuo (IPCA): </w:t>
      </w:r>
      <w:r>
        <w:rPr>
          <w:rFonts w:ascii="Arial" w:hAnsi="Arial"/>
          <w:sz w:val="23"/>
        </w:rPr>
        <w:t>Consiste na taxa percentual mensal de variação da inflação oficial (SGS/BACEN código 4447). Trata-se da variável dependente alvo (target, y) que os modelos irão prever.</w:t>
      </w:r>
    </w:p>
    <w:p>
      <w:pPr>
        <w:spacing w:before="0" w:after="60" w:line="276" w:lineRule="auto"/>
        <w:jc w:val="both"/>
      </w:pPr>
      <w:r>
        <w:rPr>
          <w:rFonts w:ascii="Arial" w:hAnsi="Arial"/>
          <w:b/>
          <w:sz w:val="23"/>
        </w:rPr>
        <w:t xml:space="preserve">2. Atributo Nominal Categórico (Regime de Inflação): </w:t>
      </w:r>
      <w:r>
        <w:rPr>
          <w:rFonts w:ascii="Arial" w:hAnsi="Arial"/>
          <w:sz w:val="23"/>
        </w:rPr>
        <w:t>Construído com base no Regime de Metas para a Inflação estipulado pelo Conselho Monetário Nacional (CMN/BACEN). Discretizamos a série mensal contínua em três classes qualitativas mutuamente exclusivas:</w:t>
      </w:r>
    </w:p>
    <w:p>
      <w:pPr>
        <w:spacing w:before="0" w:after="40" w:line="276" w:lineRule="auto"/>
        <w:jc w:val="both"/>
      </w:pPr>
      <w:r>
        <w:rPr>
          <w:rFonts w:ascii="Arial" w:hAnsi="Arial"/>
          <w:b/>
          <w:sz w:val="23"/>
        </w:rPr>
        <w:t xml:space="preserve">   • Deflação (IPCA &lt; 0,00%): </w:t>
      </w:r>
      <w:r>
        <w:rPr>
          <w:rFonts w:ascii="Arial" w:hAnsi="Arial"/>
          <w:sz w:val="23"/>
        </w:rPr>
        <w:t>Meses com queda atípica generalizada de preços provocada por choques pontuais de demanda ou desonerações fiscais;</w:t>
      </w:r>
    </w:p>
    <w:p>
      <w:pPr>
        <w:spacing w:before="0" w:after="40" w:line="276" w:lineRule="auto"/>
        <w:jc w:val="both"/>
      </w:pPr>
      <w:r>
        <w:rPr>
          <w:rFonts w:ascii="Arial" w:hAnsi="Arial"/>
          <w:b/>
          <w:sz w:val="23"/>
        </w:rPr>
        <w:t xml:space="preserve">   • Meta / Estável (0,00% ≤ IPCA ≤ 0,50%): </w:t>
      </w:r>
      <w:r>
        <w:rPr>
          <w:rFonts w:ascii="Arial" w:hAnsi="Arial"/>
          <w:sz w:val="23"/>
        </w:rPr>
        <w:t>Meses compatíveis com o centro da meta oficial anualizada do BACEN (equivalente a taxas mensais de 0,25% a 0,50% a.m.);</w:t>
      </w:r>
    </w:p>
    <w:p>
      <w:pPr>
        <w:spacing w:before="0" w:after="100" w:line="276" w:lineRule="auto"/>
        <w:jc w:val="both"/>
      </w:pPr>
      <w:r>
        <w:rPr>
          <w:rFonts w:ascii="Arial" w:hAnsi="Arial"/>
          <w:b/>
          <w:sz w:val="23"/>
        </w:rPr>
        <w:t xml:space="preserve">   • Alta / Acima da Meta (IPCA &gt; 0,50%): </w:t>
      </w:r>
      <w:r>
        <w:rPr>
          <w:rFonts w:ascii="Arial" w:hAnsi="Arial"/>
          <w:sz w:val="23"/>
        </w:rPr>
        <w:t>Meses com pressão inflacionária excessiva que demandam aperto de política monetária.</w:t>
      </w:r>
    </w:p>
    <w:p>
      <w:pPr>
        <w:spacing w:before="200" w:after="80" w:line="276" w:lineRule="auto"/>
        <w:jc w:val="left"/>
      </w:pPr>
      <w:r>
        <w:rPr>
          <w:rFonts w:ascii="Arial" w:hAnsi="Arial"/>
          <w:b/>
          <w:sz w:val="23"/>
        </w:rPr>
        <w:t>3.3.2 Distribuição de Frequências e Métricas Descritivas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3"/>
        </w:rPr>
        <w:t>A análise da amostra atualizada (março de 2012 a agosto de 2026, com 174 meses contínuos) aponta a predominância de meses dentro da meta oficial, conforme demonstrado na Tabela 1.</w:t>
      </w:r>
    </w:p>
    <w:p>
      <w:pPr>
        <w:spacing w:before="120" w:after="80" w:line="276" w:lineRule="auto"/>
        <w:jc w:val="center"/>
      </w:pPr>
      <w:r>
        <w:rPr>
          <w:rFonts w:ascii="Arial" w:hAnsi="Arial"/>
          <w:b/>
          <w:sz w:val="20"/>
        </w:rPr>
        <w:t>Tabela 1 – Distribuição de Frequência do Atributo Nominal (Regime de Inflação)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160"/>
            <w:tcMar>
              <w:top w:w="70" w:type="dxa"/>
              <w:bottom w:w="70" w:type="dxa"/>
              <w:left w:w="80" w:type="dxa"/>
              <w:right w:w="80" w:type="dxa"/>
            </w:tcMar>
            <w:shd w:fill="EAECE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Classe Nominal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  <w:shd w:fill="EAECE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Faixa Paramétrica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80" w:type="dxa"/>
              <w:right w:w="80" w:type="dxa"/>
            </w:tcMar>
            <w:shd w:fill="EAECE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Freq. Absoluta (fi)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80" w:type="dxa"/>
              <w:right w:w="80" w:type="dxa"/>
            </w:tcMar>
            <w:shd w:fill="EAECE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Freq. Relativa (%)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80" w:type="dxa"/>
              <w:right w:w="80" w:type="dxa"/>
            </w:tcMar>
            <w:shd w:fill="EAECE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Freq. Acumulada (Fi)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80" w:type="dxa"/>
              <w:right w:w="80" w:type="dxa"/>
            </w:tcMar>
            <w:shd w:fill="EAECE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Freq. Rel. Acum. (%)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8"/>
              </w:rPr>
              <w:t>Deflação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IPCA &lt; 0,00%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27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15,52%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27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15,52%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8"/>
              </w:rPr>
              <w:t>Meta / Estável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0,00% ≤ IPCA ≤ 0,50%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77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44,25%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104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59,77%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8"/>
              </w:rPr>
              <w:t>Alta / Acima da Meta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IPCA &gt; 0,50%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70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40,23%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174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100,00%</w:t>
            </w:r>
          </w:p>
        </w:tc>
      </w:tr>
      <w:tr>
        <w:tc>
          <w:tcPr>
            <w:tcW w:type="dxa" w:w="2160"/>
            <w:tcMar>
              <w:top w:w="70" w:type="dxa"/>
              <w:bottom w:w="70" w:type="dxa"/>
              <w:left w:w="80" w:type="dxa"/>
              <w:right w:w="80" w:type="dxa"/>
            </w:tcMar>
            <w:shd w:fill="F2F4F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8"/>
              </w:rPr>
              <w:t>Total Geral Amostral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  <w:shd w:fill="F2F4F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Horizonte 2012–2026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80" w:type="dxa"/>
              <w:right w:w="80" w:type="dxa"/>
            </w:tcMar>
            <w:shd w:fill="F2F4F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174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80" w:type="dxa"/>
              <w:right w:w="80" w:type="dxa"/>
            </w:tcMar>
            <w:shd w:fill="F2F4F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100,00%</w:t>
            </w:r>
          </w:p>
        </w:tc>
        <w:tc>
          <w:tcPr>
            <w:tcW w:type="dxa" w:w="1296"/>
            <w:tcMar>
              <w:top w:w="70" w:type="dxa"/>
              <w:bottom w:w="70" w:type="dxa"/>
              <w:left w:w="80" w:type="dxa"/>
              <w:right w:w="80" w:type="dxa"/>
            </w:tcMar>
            <w:shd w:fill="F2F4F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174</w:t>
            </w:r>
          </w:p>
        </w:tc>
        <w:tc>
          <w:tcPr>
            <w:tcW w:type="dxa" w:w="1440"/>
            <w:tcMar>
              <w:top w:w="70" w:type="dxa"/>
              <w:bottom w:w="70" w:type="dxa"/>
              <w:left w:w="80" w:type="dxa"/>
              <w:right w:w="80" w:type="dxa"/>
            </w:tcMar>
            <w:shd w:fill="F2F4F7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100,00%</w:t>
            </w:r>
          </w:p>
        </w:tc>
      </w:tr>
    </w:tbl>
    <w:p>
      <w:pPr>
        <w:spacing w:before="40" w:after="120" w:line="276" w:lineRule="auto"/>
        <w:jc w:val="center"/>
      </w:pPr>
      <w:r>
        <w:rPr>
          <w:rFonts w:ascii="Arial" w:hAnsi="Arial"/>
          <w:sz w:val="23"/>
        </w:rPr>
        <w:t>Fonte: Elaboração própria com base em microdados do SGS/BACEN (2026).</w:t>
      </w:r>
    </w:p>
    <w:p>
      <w:pPr>
        <w:spacing w:before="0" w:after="80" w:line="276" w:lineRule="auto"/>
        <w:jc w:val="both"/>
      </w:pPr>
      <w:r>
        <w:rPr>
          <w:rFonts w:ascii="Arial" w:hAnsi="Arial"/>
          <w:sz w:val="23"/>
        </w:rPr>
        <w:t>Principais estimadores estatísticos do IPCA contínuo na amostra:</w:t>
      </w:r>
    </w:p>
    <w:p>
      <w:pPr>
        <w:spacing w:before="0" w:after="40" w:line="276" w:lineRule="auto"/>
        <w:jc w:val="both"/>
      </w:pPr>
      <w:r>
        <w:rPr>
          <w:rFonts w:ascii="Arial" w:hAnsi="Arial"/>
          <w:b/>
          <w:sz w:val="23"/>
        </w:rPr>
        <w:t xml:space="preserve">• Média e Mediana: </w:t>
      </w:r>
      <w:r>
        <w:rPr>
          <w:rFonts w:ascii="Arial" w:hAnsi="Arial"/>
          <w:sz w:val="23"/>
        </w:rPr>
        <w:t>Média de 0,4324% ao mês e mediana de 0,4150% ao mês;</w:t>
      </w:r>
    </w:p>
    <w:p>
      <w:pPr>
        <w:spacing w:before="0" w:after="40" w:line="276" w:lineRule="auto"/>
        <w:jc w:val="both"/>
      </w:pPr>
      <w:r>
        <w:rPr>
          <w:rFonts w:ascii="Arial" w:hAnsi="Arial"/>
          <w:b/>
          <w:sz w:val="23"/>
        </w:rPr>
        <w:t xml:space="preserve">• Dispersão: </w:t>
      </w:r>
      <w:r>
        <w:rPr>
          <w:rFonts w:ascii="Arial" w:hAnsi="Arial"/>
          <w:sz w:val="23"/>
        </w:rPr>
        <w:t>Desvio padrão amostral de 0,4719% e variância de 0,2226;</w:t>
      </w:r>
    </w:p>
    <w:p>
      <w:pPr>
        <w:spacing w:before="0" w:after="40" w:line="276" w:lineRule="auto"/>
        <w:jc w:val="both"/>
      </w:pPr>
      <w:r>
        <w:rPr>
          <w:rFonts w:ascii="Arial" w:hAnsi="Arial"/>
          <w:b/>
          <w:sz w:val="23"/>
        </w:rPr>
        <w:t xml:space="preserve">• Assimetria e Curtose: </w:t>
      </w:r>
      <w:r>
        <w:rPr>
          <w:rFonts w:ascii="Arial" w:hAnsi="Arial"/>
          <w:sz w:val="23"/>
        </w:rPr>
        <w:t>Assimetria positiva (+0,5287), indicando cauda direita alongada por choques de alta, e curtose de +0,3736 (fracamente leptocúrtica);</w:t>
      </w:r>
    </w:p>
    <w:p>
      <w:pPr>
        <w:spacing w:before="0" w:after="40" w:line="276" w:lineRule="auto"/>
        <w:jc w:val="both"/>
      </w:pPr>
      <w:r>
        <w:rPr>
          <w:rFonts w:ascii="Arial" w:hAnsi="Arial"/>
          <w:b/>
          <w:sz w:val="23"/>
        </w:rPr>
        <w:t xml:space="preserve">• Valores Extremos: </w:t>
      </w:r>
      <w:r>
        <w:rPr>
          <w:rFonts w:ascii="Arial" w:hAnsi="Arial"/>
          <w:sz w:val="23"/>
        </w:rPr>
        <w:t>Mínimo histórico de -0,7400% (junho/2023) e máximo de +1,9500% (dezembro/2019);</w:t>
      </w:r>
    </w:p>
    <w:p>
      <w:pPr>
        <w:spacing w:before="0" w:after="120" w:line="276" w:lineRule="auto"/>
        <w:jc w:val="both"/>
      </w:pPr>
      <w:r>
        <w:rPr>
          <w:rFonts w:ascii="Arial" w:hAnsi="Arial"/>
          <w:b/>
          <w:sz w:val="23"/>
        </w:rPr>
        <w:t xml:space="preserve">• Quartis e Intervalo Interquartílico: </w:t>
      </w:r>
      <w:r>
        <w:rPr>
          <w:rFonts w:ascii="Arial" w:hAnsi="Arial"/>
          <w:sz w:val="23"/>
        </w:rPr>
        <w:t>Q1 = 0,0800%, Q3 = 0,6775% e IQR = 0,5975 p.p.</w:t>
      </w:r>
    </w:p>
    <w:p>
      <w:pPr>
        <w:spacing w:before="200" w:after="80" w:line="276" w:lineRule="auto"/>
        <w:jc w:val="left"/>
      </w:pPr>
      <w:r>
        <w:rPr>
          <w:rFonts w:ascii="Arial" w:hAnsi="Arial"/>
          <w:b/>
          <w:sz w:val="23"/>
        </w:rPr>
        <w:t>3.3.3 Análise Visual: Histograma, Boxplot e Gráfico de Dispersão</w:t>
      </w:r>
    </w:p>
    <w:p>
      <w:pPr>
        <w:spacing w:before="0" w:after="100" w:line="276" w:lineRule="auto"/>
        <w:jc w:val="both"/>
      </w:pPr>
      <w:r>
        <w:rPr>
          <w:rFonts w:ascii="Arial" w:hAnsi="Arial"/>
          <w:sz w:val="23"/>
        </w:rPr>
        <w:t>Para examinar as características visuais da inflação, geramos quatro gráficos em alta resolução (300 DPI), apresentados a seguir acompanhados de suas interpretações práticas.</w:t>
      </w:r>
    </w:p>
    <w:p>
      <w:pPr>
        <w:spacing w:before="140" w:after="6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29200" cy="3466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_1_Histograma_IPC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66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 w:line="276" w:lineRule="auto"/>
        <w:jc w:val="center"/>
      </w:pPr>
      <w:r>
        <w:rPr>
          <w:rFonts w:ascii="Arial" w:hAnsi="Arial"/>
          <w:i/>
          <w:sz w:val="19"/>
        </w:rPr>
        <w:t>Figura 1 – Histograma e Densidade Empírica (KDE) do IPCA (2012 a 2026)</w:t>
      </w:r>
    </w:p>
    <w:p>
      <w:pPr>
        <w:spacing w:before="0" w:after="100" w:line="276" w:lineRule="auto"/>
        <w:jc w:val="both"/>
      </w:pPr>
      <w:r>
        <w:rPr>
          <w:rFonts w:ascii="Arial" w:hAnsi="Arial"/>
          <w:sz w:val="23"/>
        </w:rPr>
        <w:t>A Figura 1 confirma que a distribuição da inflação concentra-se entre 0,10% e 0,60% ao mês. A proximidade entre média e mediana reforça a regularidade central, enquanto a assimetria positiva (+0,53) demonstra que choques inflacionários são mais acentuados do que quedas de preço.</w:t>
      </w:r>
    </w:p>
    <w:p>
      <w:pPr>
        <w:spacing w:before="140" w:after="6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_2_Boxplot_IPC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 w:line="276" w:lineRule="auto"/>
        <w:jc w:val="center"/>
      </w:pPr>
      <w:r>
        <w:rPr>
          <w:rFonts w:ascii="Arial" w:hAnsi="Arial"/>
          <w:i/>
          <w:sz w:val="19"/>
        </w:rPr>
        <w:t>Figura 2 – Diagrama de Caixa (Boxplot) do IPCA: Amostra Global e por Regimes de Inflação</w:t>
      </w:r>
    </w:p>
    <w:p>
      <w:pPr>
        <w:spacing w:before="0" w:after="100" w:line="276" w:lineRule="auto"/>
        <w:jc w:val="both"/>
      </w:pPr>
      <w:r>
        <w:rPr>
          <w:rFonts w:ascii="Arial" w:hAnsi="Arial"/>
          <w:sz w:val="23"/>
        </w:rPr>
        <w:t>O Boxplot univariado na Figura 2(A) identifica 5 outliers pelo critério de Tukey (IQR): dezembro/2019 (+1,95%), outubro/2020 (+1,72%), novembro/2020 (+1,61%), dezembro/2020 (+1,58%) e dezembro/2021 (+1,58%), correspondendo a choques de carnes e restrições de cadeias globais durante a pandemia. Na Figura 2(B), nota-se que a variabilidade da classe 'Alta' é muito mais ampla do que na classe 'Meta', justificando o emprego de modelos híbridos com aprendizado de máquina para modelar os resíduos.</w:t>
      </w:r>
    </w:p>
    <w:p>
      <w:pPr>
        <w:spacing w:before="140" w:after="6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29200" cy="33136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_3_Dispersao_IPCA_Camb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13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 w:line="276" w:lineRule="auto"/>
        <w:jc w:val="center"/>
      </w:pPr>
      <w:r>
        <w:rPr>
          <w:rFonts w:ascii="Arial" w:hAnsi="Arial"/>
          <w:i/>
          <w:sz w:val="19"/>
        </w:rPr>
        <w:t>Figura 3 – Gráfico de Dispersão entre IPCA e Taxa de Câmbio (USDBRL) por Regime Nominal</w:t>
      </w:r>
    </w:p>
    <w:p>
      <w:pPr>
        <w:spacing w:before="0" w:after="100" w:line="276" w:lineRule="auto"/>
        <w:jc w:val="both"/>
      </w:pPr>
      <w:r>
        <w:rPr>
          <w:rFonts w:ascii="Arial" w:hAnsi="Arial"/>
          <w:sz w:val="23"/>
        </w:rPr>
        <w:t>O gráfico de dispersão da Figura 3 evidencia a relação positiva entre desvalorização cambial e inflação (repasse cambial). À medida que a cotação do dólar sobe, a proporção de observações no regime de 'Alta' aumenta perceptivelmente, comprovando a relevância do câmbio como variável preditiva exógena.</w:t>
      </w:r>
    </w:p>
    <w:p>
      <w:pPr>
        <w:spacing w:before="140" w:after="6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29200" cy="33215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_4_Distribuicao_Regim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21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 w:line="276" w:lineRule="auto"/>
        <w:jc w:val="center"/>
      </w:pPr>
      <w:r>
        <w:rPr>
          <w:rFonts w:ascii="Arial" w:hAnsi="Arial"/>
          <w:i/>
          <w:sz w:val="19"/>
        </w:rPr>
        <w:t>Figura 4 – Proporção Percentual dos Regimes Nominais de Inflação (N = 174 meses)</w:t>
      </w:r>
    </w:p>
    <w:p>
      <w:pPr>
        <w:spacing w:before="0" w:after="100" w:line="276" w:lineRule="auto"/>
        <w:jc w:val="both"/>
      </w:pPr>
      <w:r>
        <w:rPr>
          <w:rFonts w:ascii="Arial" w:hAnsi="Arial"/>
          <w:sz w:val="23"/>
        </w:rPr>
        <w:t>A Figura 4 sintetiza a predominância dos regimes: 44,25% dos meses situaram-se dentro da meta, 40,23% em patamares elevados e apenas 15,52% em deflação (composta por desonerações fiscais temporárias e contrações severas de demanda).</w:t>
      </w:r>
    </w:p>
    <w:p>
      <w:pPr>
        <w:spacing w:before="200" w:after="80" w:line="276" w:lineRule="auto"/>
        <w:jc w:val="left"/>
      </w:pPr>
      <w:r>
        <w:rPr>
          <w:rFonts w:ascii="Arial" w:hAnsi="Arial"/>
          <w:b/>
          <w:sz w:val="23"/>
        </w:rPr>
        <w:t>3.3.4 Governança, Integridade e Requisitos de Qualidade</w:t>
      </w:r>
    </w:p>
    <w:p>
      <w:pPr>
        <w:spacing w:before="0" w:after="120" w:line="276" w:lineRule="auto"/>
        <w:jc w:val="both"/>
      </w:pPr>
      <w:r>
        <w:rPr>
          <w:rFonts w:ascii="Arial" w:hAnsi="Arial"/>
          <w:sz w:val="23"/>
        </w:rPr>
        <w:t>O tratamento dos dados segue rigorosamente a Lei Geral de Proteção de Dados Pessoais (LGPD – Lei nº 13.709/2018). As séries temporais empregadas são dados macroeconômicos públicos e agregados (SGS/BACEN, IBGE, FGV e Ministério do Trabalho), sem identificadores individuais. Sob a perspectiva de engenharia de dados, garantimos: (i) prevenção estrita de vazamento prospectivo (lookahead bias); (ii) completude amostral de 100% sem lacunas no período de 2012 a 2026; e (iii) reprodutibilidade científica por meio de scripts Python automatizados.</w:t>
      </w:r>
    </w:p>
    <w:p>
      <w:pPr>
        <w:spacing w:before="320" w:after="120" w:line="276" w:lineRule="auto"/>
        <w:jc w:val="left"/>
      </w:pPr>
      <w:r>
        <w:rPr>
          <w:rFonts w:ascii="Arial" w:hAnsi="Arial"/>
          <w:b/>
          <w:sz w:val="26"/>
        </w:rPr>
        <w:t>3.4 Pré-processamento dos Dados e Dicionário de Dados Final</w:t>
      </w:r>
    </w:p>
    <w:p>
      <w:pPr>
        <w:spacing w:before="0" w:after="100" w:line="276" w:lineRule="auto"/>
        <w:jc w:val="both"/>
      </w:pPr>
      <w:r>
        <w:rPr>
          <w:rFonts w:ascii="Arial" w:hAnsi="Arial"/>
          <w:sz w:val="23"/>
        </w:rPr>
        <w:t>O pré-processamento transforma as séries econômicas brutas em um painel equilibrado, consistente e apto a alimentar os estimadores lineares e não lineares. Esse fluxo é organizado em três etapas fundamentais: Limpeza, Redução e Transformação.</w:t>
      </w:r>
    </w:p>
    <w:p>
      <w:pPr>
        <w:spacing w:before="260" w:after="100" w:line="276" w:lineRule="auto"/>
        <w:jc w:val="left"/>
      </w:pPr>
      <w:r>
        <w:rPr>
          <w:rFonts w:ascii="Arial" w:hAnsi="Arial"/>
          <w:b/>
          <w:sz w:val="24"/>
        </w:rPr>
        <w:t>3.4.1 Procedimentos de Limpeza e Saneamento de Dados (Data Cleaning)</w:t>
      </w:r>
    </w:p>
    <w:p>
      <w:pPr>
        <w:spacing w:before="0" w:after="60" w:line="276" w:lineRule="auto"/>
        <w:jc w:val="both"/>
      </w:pPr>
      <w:r>
        <w:rPr>
          <w:rFonts w:ascii="Arial" w:hAnsi="Arial"/>
          <w:b/>
          <w:sz w:val="23"/>
        </w:rPr>
        <w:t xml:space="preserve">1. Sincronização Cronológica: </w:t>
      </w:r>
      <w:r>
        <w:rPr>
          <w:rFonts w:ascii="Arial" w:hAnsi="Arial"/>
          <w:sz w:val="23"/>
        </w:rPr>
        <w:t>Séries diárias do mercado financeiro (taxa de câmbio PTAX e taxa Selic) foram convertidas para médias mensais de dias úteis e alinhadas sob frequência contínua Month Start (MS) de março de 2012 a agosto de 2026;</w:t>
      </w:r>
    </w:p>
    <w:p>
      <w:pPr>
        <w:spacing w:before="0" w:after="60" w:line="276" w:lineRule="auto"/>
        <w:jc w:val="both"/>
      </w:pPr>
      <w:r>
        <w:rPr>
          <w:rFonts w:ascii="Arial" w:hAnsi="Arial"/>
          <w:b/>
          <w:sz w:val="23"/>
        </w:rPr>
        <w:t xml:space="preserve">2. Tratamento de Zeros Estruturais: </w:t>
      </w:r>
      <w:r>
        <w:rPr>
          <w:rFonts w:ascii="Arial" w:hAnsi="Arial"/>
          <w:sz w:val="23"/>
        </w:rPr>
        <w:t>Em fluxos e estoques contínuos (refino de petróleo, consumo de combustíveis, energia e estoque do CAGED), zeros espúrios causados por atrasos de declaração contábil foram substituídos por valores nulos (NaN) para não distorcer variações percentuais;</w:t>
      </w:r>
    </w:p>
    <w:p>
      <w:pPr>
        <w:spacing w:before="0" w:after="60" w:line="276" w:lineRule="auto"/>
        <w:jc w:val="both"/>
      </w:pPr>
      <w:r>
        <w:rPr>
          <w:rFonts w:ascii="Arial" w:hAnsi="Arial"/>
          <w:b/>
          <w:sz w:val="23"/>
        </w:rPr>
        <w:t xml:space="preserve">3. Sanitização Numérica: </w:t>
      </w:r>
      <w:r>
        <w:rPr>
          <w:rFonts w:ascii="Arial" w:hAnsi="Arial"/>
          <w:sz w:val="23"/>
        </w:rPr>
        <w:t>Valores infinitos positivos ou negativos (±inf) decorrentes de potenciais divisões aritméticas foram substituídos por NaN;</w:t>
      </w:r>
    </w:p>
    <w:p>
      <w:pPr>
        <w:spacing w:before="0" w:after="60" w:line="276" w:lineRule="auto"/>
        <w:jc w:val="both"/>
      </w:pPr>
      <w:r>
        <w:rPr>
          <w:rFonts w:ascii="Arial" w:hAnsi="Arial"/>
          <w:b/>
          <w:sz w:val="23"/>
        </w:rPr>
        <w:t xml:space="preserve">4. Imputação Temporal sem Vazamento de Dados: </w:t>
      </w:r>
      <w:r>
        <w:rPr>
          <w:rFonts w:ascii="Arial" w:hAnsi="Arial"/>
          <w:sz w:val="23"/>
        </w:rPr>
        <w:t>Valores faltantes foram tratados via interpolação linear temporal contínua indexada por datas (interpolate(method='time')). Para regressores de Machine Learning, qualquer imputação estatística é calibrada no treino e aplicada de forma cega no teste;</w:t>
      </w:r>
    </w:p>
    <w:p>
      <w:pPr>
        <w:spacing w:before="0" w:after="120" w:line="276" w:lineRule="auto"/>
        <w:jc w:val="both"/>
      </w:pPr>
      <w:r>
        <w:rPr>
          <w:rFonts w:ascii="Arial" w:hAnsi="Arial"/>
          <w:b/>
          <w:sz w:val="23"/>
        </w:rPr>
        <w:t xml:space="preserve">5. Diagnóstico de Outliers e Preservação de Choques Reais: </w:t>
      </w:r>
      <w:r>
        <w:rPr>
          <w:rFonts w:ascii="Arial" w:hAnsi="Arial"/>
          <w:sz w:val="23"/>
        </w:rPr>
        <w:t>Choques genuínos (deflação da COVID-19 em 2020 e desonerações tributárias em 2022) foram integralmente preservados para os modelos ARIMA e ARIMAX, enquanto modelos de aprendizado de máquina contam com winsorização conservadora (percentis 1% e 99% no treino) para evitar distorções espaciais nos pesos.</w:t>
      </w:r>
    </w:p>
    <w:p>
      <w:pPr>
        <w:spacing w:before="260" w:after="100" w:line="276" w:lineRule="auto"/>
        <w:jc w:val="left"/>
      </w:pPr>
      <w:r>
        <w:rPr>
          <w:rFonts w:ascii="Arial" w:hAnsi="Arial"/>
          <w:b/>
          <w:sz w:val="24"/>
        </w:rPr>
        <w:t>3.4.2 Técnicas de Redução de Dados e Dimensionalidade (Data Reduction)</w:t>
      </w:r>
    </w:p>
    <w:p>
      <w:pPr>
        <w:spacing w:before="0" w:after="60" w:line="276" w:lineRule="auto"/>
        <w:jc w:val="both"/>
      </w:pPr>
      <w:r>
        <w:rPr>
          <w:rFonts w:ascii="Arial" w:hAnsi="Arial"/>
          <w:b/>
          <w:sz w:val="23"/>
        </w:rPr>
        <w:t xml:space="preserve">1. Redução Amostral Estrutural (Truncamento pós-2012): </w:t>
      </w:r>
      <w:r>
        <w:rPr>
          <w:rFonts w:ascii="Arial" w:hAnsi="Arial"/>
          <w:sz w:val="23"/>
        </w:rPr>
        <w:t>O descarte intencional de registros anteriores a março de 2012 eliminou quebras estruturais severas da transição PME para PNAD Contínua e da reformulação da cesta da POF;</w:t>
      </w:r>
    </w:p>
    <w:p>
      <w:pPr>
        <w:spacing w:before="0" w:after="120" w:line="276" w:lineRule="auto"/>
        <w:jc w:val="both"/>
      </w:pPr>
      <w:r>
        <w:rPr>
          <w:rFonts w:ascii="Arial" w:hAnsi="Arial"/>
          <w:b/>
          <w:sz w:val="23"/>
        </w:rPr>
        <w:t xml:space="preserve">2. Seleção de Atributos por Meta-heurísticas (GA e PSO): </w:t>
      </w:r>
      <w:r>
        <w:rPr>
          <w:rFonts w:ascii="Arial" w:hAnsi="Arial"/>
          <w:sz w:val="23"/>
        </w:rPr>
        <w:t>Dos 27 atributos exógenos candidatos, Algoritmos Genéticos (GA) e Enxame de Partículas (PSO) selecionaram os subconjuntos ótimos de 5 variáveis-chave. No modelo campeão (ARIMAX + Random Forest), o PSO selecionou: IPCA_Transportes, IGP_DI, Produção_Derivados_Petróleo, Consumo_Gasolina e Estoque_Empregos_Formais_Total, reduzindo a dimensionalidade em mais de 80% e alcançando o menor erro do estudo (RMSE de 0,1046).</w:t>
      </w:r>
    </w:p>
    <w:p>
      <w:pPr>
        <w:spacing w:before="260" w:after="100" w:line="276" w:lineRule="auto"/>
        <w:jc w:val="left"/>
      </w:pPr>
      <w:r>
        <w:rPr>
          <w:rFonts w:ascii="Arial" w:hAnsi="Arial"/>
          <w:b/>
          <w:sz w:val="24"/>
        </w:rPr>
        <w:t>3.4.3 Transformação de Dados e Engenharia de Atributos (Data Transformation)</w:t>
      </w:r>
    </w:p>
    <w:p>
      <w:pPr>
        <w:spacing w:before="0" w:after="60" w:line="276" w:lineRule="auto"/>
        <w:jc w:val="both"/>
      </w:pPr>
      <w:r>
        <w:rPr>
          <w:rFonts w:ascii="Arial" w:hAnsi="Arial"/>
          <w:b/>
          <w:sz w:val="23"/>
        </w:rPr>
        <w:t xml:space="preserve">1. Particionamento Temporal Cronológico 80/20: </w:t>
      </w:r>
      <w:r>
        <w:rPr>
          <w:rFonts w:ascii="Arial" w:hAnsi="Arial"/>
          <w:sz w:val="23"/>
        </w:rPr>
        <w:t>A base tratada foi dividida estritamente em ordem cronológica (sem embaralhamento) em 80% para treino e 20% para teste, suportando o esquema walk-forward (previsões dinâmicas de 1 passo à frente);</w:t>
      </w:r>
    </w:p>
    <w:p>
      <w:pPr>
        <w:spacing w:before="0" w:after="60" w:line="276" w:lineRule="auto"/>
        <w:jc w:val="both"/>
      </w:pPr>
      <w:r>
        <w:rPr>
          <w:rFonts w:ascii="Arial" w:hAnsi="Arial"/>
          <w:b/>
          <w:sz w:val="23"/>
        </w:rPr>
        <w:t xml:space="preserve">2. Teste ADF e Estacionarização Automática: </w:t>
      </w:r>
      <w:r>
        <w:rPr>
          <w:rFonts w:ascii="Arial" w:hAnsi="Arial"/>
          <w:sz w:val="23"/>
        </w:rPr>
        <w:t>Modelos ARIMA pressupõem séries estacionárias. O teste Augmented Dickey-Fuller (ADF a 5%) confirmou que o IPCA e os subíndices de preços são I(0) (estacionários em nível). Séries com raiz unitária (como PIB, Câmbio e Combustíveis) foram submetidas à primeira diferenciação sucessiva (ΔX_t = X_t - X_{t-1}), eliminando regressão espúria;</w:t>
      </w:r>
    </w:p>
    <w:p>
      <w:pPr>
        <w:spacing w:before="0" w:after="60" w:line="276" w:lineRule="auto"/>
        <w:jc w:val="both"/>
      </w:pPr>
      <w:r>
        <w:rPr>
          <w:rFonts w:ascii="Arial" w:hAnsi="Arial"/>
          <w:b/>
          <w:sz w:val="23"/>
        </w:rPr>
        <w:t xml:space="preserve">3. Engenharia de Defasagens Temporais (Lags): </w:t>
      </w:r>
      <w:r>
        <w:rPr>
          <w:rFonts w:ascii="Arial" w:hAnsi="Arial"/>
          <w:sz w:val="23"/>
        </w:rPr>
        <w:t>Criamos defasagens autoregressivas de 1 a 3 meses para capturar o tempo de transmissão de decisões de juros e oscilações cambiais até os preços ao consumidor;</w:t>
      </w:r>
    </w:p>
    <w:p>
      <w:pPr>
        <w:spacing w:before="0" w:after="120" w:line="276" w:lineRule="auto"/>
        <w:jc w:val="both"/>
      </w:pPr>
      <w:r>
        <w:rPr>
          <w:rFonts w:ascii="Arial" w:hAnsi="Arial"/>
          <w:b/>
          <w:sz w:val="23"/>
        </w:rPr>
        <w:t xml:space="preserve">4. Padronização de Escalas via StandardScaler: </w:t>
      </w:r>
      <w:r>
        <w:rPr>
          <w:rFonts w:ascii="Arial" w:hAnsi="Arial"/>
          <w:sz w:val="23"/>
        </w:rPr>
        <w:t>Para evitar que variáveis medidas em bilhões (como PIB) dominassem atributos medidos em percentuais decimais (como IPCA e Selic), normalizou-se os dados via Z-Score com média e desvio padrão calibrados estritamente na partição de treino.</w:t>
      </w:r>
    </w:p>
    <w:p>
      <w:pPr>
        <w:spacing w:before="260" w:after="100" w:line="276" w:lineRule="auto"/>
        <w:jc w:val="left"/>
      </w:pPr>
      <w:r>
        <w:rPr>
          <w:rFonts w:ascii="Arial" w:hAnsi="Arial"/>
          <w:b/>
          <w:sz w:val="24"/>
        </w:rPr>
        <w:t>3.4.4 Dicionário de Dados Final do Projeto</w:t>
      </w:r>
    </w:p>
    <w:p>
      <w:pPr>
        <w:spacing w:before="0" w:after="100" w:line="276" w:lineRule="auto"/>
        <w:jc w:val="both"/>
      </w:pPr>
      <w:r>
        <w:rPr>
          <w:rFonts w:ascii="Arial" w:hAnsi="Arial"/>
          <w:sz w:val="23"/>
        </w:rPr>
        <w:t>Como síntese de todas as etapas de saneamento, estacionarização e seleção bioinspirada, a Tabela 2 apresenta o Dicionário de Dados Final do projeto, especificando cada atributo, seu código SGS, tipo, transformação aplicada, resultado do teste ADF e função metodológica nos modelos.</w:t>
      </w:r>
    </w:p>
    <w:p>
      <w:pPr>
        <w:spacing w:before="120" w:after="80" w:line="276" w:lineRule="auto"/>
        <w:jc w:val="center"/>
      </w:pPr>
      <w:r>
        <w:rPr>
          <w:rFonts w:ascii="Arial" w:hAnsi="Arial"/>
          <w:b/>
          <w:sz w:val="20"/>
        </w:rPr>
        <w:t>Tabela 2 – Dicionário de Dados Final e Especificação de Atributos Pré-Processados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AECE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Atributo Final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shd w:fill="EAECE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Código SGS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shd w:fill="EAECE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Tipo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AECE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Transformação Aplicada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80" w:type="dxa"/>
              <w:right w:w="80" w:type="dxa"/>
            </w:tcMar>
            <w:shd w:fill="EAECE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Estacionariedade (ADF)</w:t>
            </w:r>
          </w:p>
        </w:tc>
        <w:tc>
          <w:tcPr>
            <w:tcW w:type="dxa" w:w="1512"/>
            <w:tcMar>
              <w:top w:w="70" w:type="dxa"/>
              <w:bottom w:w="70" w:type="dxa"/>
              <w:left w:w="80" w:type="dxa"/>
              <w:right w:w="80" w:type="dxa"/>
            </w:tcMar>
            <w:shd w:fill="EAECE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Seleção / Subconjunto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80" w:type="dxa"/>
              <w:right w:w="80" w:type="dxa"/>
            </w:tcMar>
            <w:shd w:fill="EAECE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Papel Metodológico</w:t>
            </w:r>
          </w:p>
        </w:tc>
      </w:tr>
      <w:tr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8"/>
              </w:rPr>
              <w:t>IPCA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4447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Float64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Nível Original (% a.m.)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I(0) | p = 0,0002</w:t>
            </w:r>
          </w:p>
        </w:tc>
        <w:tc>
          <w:tcPr>
            <w:tcW w:type="dxa" w:w="151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Todas as Configurações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8"/>
              </w:rPr>
              <w:t>Variável Alvo (Target y_t) - Inflação oficial sob regime de metas.</w:t>
            </w:r>
          </w:p>
        </w:tc>
      </w:tr>
      <w:tr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8"/>
              </w:rPr>
              <w:t>d_IPCA_Transportes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1639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Float64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1ª Diferença (Δ)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I(0) | p &lt; 0,0001</w:t>
            </w:r>
          </w:p>
        </w:tc>
        <w:tc>
          <w:tcPr>
            <w:tcW w:type="dxa" w:w="151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PSO (ARIMAX+RF) / Base Geral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8"/>
              </w:rPr>
              <w:t>Covariável Exógena - Choques de preços de combustíveis e mobilidade.</w:t>
            </w:r>
          </w:p>
        </w:tc>
      </w:tr>
      <w:tr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8"/>
              </w:rPr>
              <w:t>d_IPCA_Alimentação_bebidas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1635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Float64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1ª Diferença (Δ)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I(0) | p &lt; 0,0001</w:t>
            </w:r>
          </w:p>
        </w:tc>
        <w:tc>
          <w:tcPr>
            <w:tcW w:type="dxa" w:w="151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PSO (Lasso) / GA (ARIMAX)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8"/>
              </w:rPr>
              <w:t>Covariável Exógena - Choques climáticos e safras no consumo domiciliar.</w:t>
            </w:r>
          </w:p>
        </w:tc>
      </w:tr>
      <w:tr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8"/>
              </w:rPr>
              <w:t>d_INPC_Habitação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1636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Float64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1ª Diferença (Δ)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I(0) | p &lt; 0,0001</w:t>
            </w:r>
          </w:p>
        </w:tc>
        <w:tc>
          <w:tcPr>
            <w:tcW w:type="dxa" w:w="151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PSO (Lasso) / GA (RNA)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8"/>
              </w:rPr>
              <w:t>Covariável Exógena - Pressões de aluguel e tarifas elétricas domiciliares.</w:t>
            </w:r>
          </w:p>
        </w:tc>
      </w:tr>
      <w:tr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8"/>
              </w:rPr>
              <w:t>d_IPCA_Saúde_cuidados_pessoais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1641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Float64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1ª Diferença (Δ)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I(0) | p &lt; 0,0001</w:t>
            </w:r>
          </w:p>
        </w:tc>
        <w:tc>
          <w:tcPr>
            <w:tcW w:type="dxa" w:w="151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GA (ARIMAX+RF) / PSO (Lasso)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8"/>
              </w:rPr>
              <w:t>Covariável Exógena - Repasse de custos médicos e planos de saúde.</w:t>
            </w:r>
          </w:p>
        </w:tc>
      </w:tr>
      <w:tr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8"/>
              </w:rPr>
              <w:t>d_IPCA_Vestuário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1638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Float64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1ª Diferença (Δ)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I(0) | p = 0,0236</w:t>
            </w:r>
          </w:p>
        </w:tc>
        <w:tc>
          <w:tcPr>
            <w:tcW w:type="dxa" w:w="151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GA (ARIMAX+RF, ARIMAX)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8"/>
              </w:rPr>
              <w:t>Covariável Exógena - Sazonalidade de coleções e liquidações do varejo.</w:t>
            </w:r>
          </w:p>
        </w:tc>
      </w:tr>
      <w:tr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8"/>
              </w:rPr>
              <w:t>d_IPCA_Educação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1643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Float64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1ª Diferença (Δ)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I(0) | p &lt; 0,0001</w:t>
            </w:r>
          </w:p>
        </w:tc>
        <w:tc>
          <w:tcPr>
            <w:tcW w:type="dxa" w:w="151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PSO (ARIMAX)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8"/>
              </w:rPr>
              <w:t>Covariável Exógena - Reajustes concentrados de matrículas escolares (fevereiro).</w:t>
            </w:r>
          </w:p>
        </w:tc>
      </w:tr>
      <w:tr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8"/>
              </w:rPr>
              <w:t>d_IPCA_Despesas_Pessoais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1642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Float64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1ª Diferença (Δ)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I(0) | p &lt; 0,0001</w:t>
            </w:r>
          </w:p>
        </w:tc>
        <w:tc>
          <w:tcPr>
            <w:tcW w:type="dxa" w:w="151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GA (ARIMAX, RNA) / PSO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8"/>
              </w:rPr>
              <w:t>Covariável Exógena - Sensibilidade de demanda de serviços recreativos e pessoais.</w:t>
            </w:r>
          </w:p>
        </w:tc>
      </w:tr>
      <w:tr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8"/>
              </w:rPr>
              <w:t>d_USDBRL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3696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Float64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1ª Dif. (Δ) + Z-Score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I(0) | p &lt; 0,0001</w:t>
            </w:r>
          </w:p>
        </w:tc>
        <w:tc>
          <w:tcPr>
            <w:tcW w:type="dxa" w:w="151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PSO (ARIMAX, Lasso) / GA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8"/>
              </w:rPr>
              <w:t>Covariável Exógena - Mecanismo de pass-through cambial e importações.</w:t>
            </w:r>
          </w:p>
        </w:tc>
      </w:tr>
      <w:tr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8"/>
              </w:rPr>
              <w:t>SELIC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4390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Float64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Nível Original (% a.m.)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I(0) | p = 0,0462</w:t>
            </w:r>
          </w:p>
        </w:tc>
        <w:tc>
          <w:tcPr>
            <w:tcW w:type="dxa" w:w="151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Base Geral / Defasada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8"/>
              </w:rPr>
              <w:t>Covariável Exógena - Taxa básica de juros da política monetária do COPOM.</w:t>
            </w:r>
          </w:p>
        </w:tc>
      </w:tr>
      <w:tr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8"/>
              </w:rPr>
              <w:t>d_Reservas_Internacionais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3546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Float64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1ª Diferença (Δ)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I(0) | p &lt; 0,0001</w:t>
            </w:r>
          </w:p>
        </w:tc>
        <w:tc>
          <w:tcPr>
            <w:tcW w:type="dxa" w:w="151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Base Geral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8"/>
              </w:rPr>
              <w:t>Covariável Exógena - Liquidez externa e blindagem a choques globais.</w:t>
            </w:r>
          </w:p>
        </w:tc>
      </w:tr>
      <w:tr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8"/>
              </w:rPr>
              <w:t>INPC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188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Float64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Nível Original (% a.m.)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I(0) | p &lt; 0,0001</w:t>
            </w:r>
          </w:p>
        </w:tc>
        <w:tc>
          <w:tcPr>
            <w:tcW w:type="dxa" w:w="151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PSO (ARIMAX) / Base Geral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8"/>
              </w:rPr>
              <w:t>Covariável Exógena - Inflação incidente em famílias de 1 a 5 salários mínimos.</w:t>
            </w:r>
          </w:p>
        </w:tc>
      </w:tr>
      <w:tr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8"/>
              </w:rPr>
              <w:t>IGP_M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189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Float64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Nível Original (% a.m.)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I(0) | p &lt; 0,0001</w:t>
            </w:r>
          </w:p>
        </w:tc>
        <w:tc>
          <w:tcPr>
            <w:tcW w:type="dxa" w:w="151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Base Geral / Defasada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8"/>
              </w:rPr>
              <w:t>Covariável Exógena - Indicador antecedente de custos no atacado (FGV).</w:t>
            </w:r>
          </w:p>
        </w:tc>
      </w:tr>
      <w:tr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8"/>
              </w:rPr>
              <w:t>IGP_DI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190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Float64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Nível Original (% a.m.)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I(0) | p = 0,0104</w:t>
            </w:r>
          </w:p>
        </w:tc>
        <w:tc>
          <w:tcPr>
            <w:tcW w:type="dxa" w:w="151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PSO (ARIMAX+RF)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8"/>
              </w:rPr>
              <w:t>Covariável Exógena - Preços ao produtor e insumos de disponibilidade interna.</w:t>
            </w:r>
          </w:p>
        </w:tc>
      </w:tr>
      <w:tr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8"/>
              </w:rPr>
              <w:t>IPC_BR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191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Float64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Nível Original (% a.m.)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I(0) | p &lt; 0,0001</w:t>
            </w:r>
          </w:p>
        </w:tc>
        <w:tc>
          <w:tcPr>
            <w:tcW w:type="dxa" w:w="151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PSO (ARIMAX) / GA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8"/>
              </w:rPr>
              <w:t>Covariável Exógena - Índice de preços ao consumidor abrangente da FGV.</w:t>
            </w:r>
          </w:p>
        </w:tc>
      </w:tr>
      <w:tr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8"/>
              </w:rPr>
              <w:t>d_log_PIB_Mensal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4380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Float64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Log-Diferença (Δ ln)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I(0) | p = 0,0123</w:t>
            </w:r>
          </w:p>
        </w:tc>
        <w:tc>
          <w:tcPr>
            <w:tcW w:type="dxa" w:w="151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PSO (Random Forest)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8"/>
              </w:rPr>
              <w:t>Covariável Exógena - Taxa de crescimento da atividade econômica e hiato.</w:t>
            </w:r>
          </w:p>
        </w:tc>
      </w:tr>
      <w:tr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8"/>
              </w:rPr>
              <w:t>d2_Desemprego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24369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Float64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2ª Diferença (Δ²)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I(0) | p &lt; 0,05</w:t>
            </w:r>
          </w:p>
        </w:tc>
        <w:tc>
          <w:tcPr>
            <w:tcW w:type="dxa" w:w="151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Base Geral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8"/>
              </w:rPr>
              <w:t>Covariável Exógena - Dinâmica da desocupação formal (Curva de Phillips).</w:t>
            </w:r>
          </w:p>
        </w:tc>
      </w:tr>
      <w:tr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8"/>
              </w:rPr>
              <w:t>d_SalMinimo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1619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Float64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Variação Nominal (Δ)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I(0) | p &lt; 0,05</w:t>
            </w:r>
          </w:p>
        </w:tc>
        <w:tc>
          <w:tcPr>
            <w:tcW w:type="dxa" w:w="151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PSO (Random Forest)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8"/>
              </w:rPr>
              <w:t>Covariável Exógena - Reajustes federais de piso salarial e custos do setor terciário.</w:t>
            </w:r>
          </w:p>
        </w:tc>
      </w:tr>
      <w:tr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8"/>
              </w:rPr>
              <w:t>d_Estoque_Empregos_Total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28763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Float64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1ª Diferença (Δ Saldo)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I(0) | p &lt; 0,05</w:t>
            </w:r>
          </w:p>
        </w:tc>
        <w:tc>
          <w:tcPr>
            <w:tcW w:type="dxa" w:w="151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PSO (ARIMAX+RF) / GA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8"/>
              </w:rPr>
              <w:t>Covariável Exógena - Saldo líquido mensal de geração de emprego formal (CAGED).</w:t>
            </w:r>
          </w:p>
        </w:tc>
      </w:tr>
      <w:tr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8"/>
              </w:rPr>
              <w:t>d_Estoque_Agropecuária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28764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Float64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1ª Diferença (Δ Saldo)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I(0) | p &lt; 0,05</w:t>
            </w:r>
          </w:p>
        </w:tc>
        <w:tc>
          <w:tcPr>
            <w:tcW w:type="dxa" w:w="151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PSO (Random Forest)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8"/>
              </w:rPr>
              <w:t>Covariável Exógena - Dinâmica do emprego rural e safras do agronegócio.</w:t>
            </w:r>
          </w:p>
        </w:tc>
      </w:tr>
      <w:tr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8"/>
              </w:rPr>
              <w:t>Estoque_Construção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28770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Float64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Variação em Nível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I(0) | p = 0,0374</w:t>
            </w:r>
          </w:p>
        </w:tc>
        <w:tc>
          <w:tcPr>
            <w:tcW w:type="dxa" w:w="151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PSO (Random Forest)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8"/>
              </w:rPr>
              <w:t>Covariável Exógena - Termômetro do ciclo de investimentos da construção civil.</w:t>
            </w:r>
          </w:p>
        </w:tc>
      </w:tr>
      <w:tr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8"/>
              </w:rPr>
              <w:t>d_QteOvos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1310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Float64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1ª Diferença (Δ)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I(0) | p &lt; 0,05</w:t>
            </w:r>
          </w:p>
        </w:tc>
        <w:tc>
          <w:tcPr>
            <w:tcW w:type="dxa" w:w="151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Base Geral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8"/>
              </w:rPr>
              <w:t>Covariável Exógena - Proxy de volume físico da oferta agropecuária avícola.</w:t>
            </w:r>
          </w:p>
        </w:tc>
      </w:tr>
      <w:tr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8"/>
              </w:rPr>
              <w:t>d_Produção_Derivados_Petróleo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1391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Float64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1ª Diferença (Δ)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I(0) | p &lt; 0,0001</w:t>
            </w:r>
          </w:p>
        </w:tc>
        <w:tc>
          <w:tcPr>
            <w:tcW w:type="dxa" w:w="151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PSO (ARIMAX+RF, RF)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8"/>
              </w:rPr>
              <w:t>Covariável Exógena - Volume físico de refino de derivados e oferta energética.</w:t>
            </w:r>
          </w:p>
        </w:tc>
      </w:tr>
      <w:tr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8"/>
              </w:rPr>
              <w:t>d_Consumo_Gasolina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1393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Float64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1ª Diferença (Δ)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I(0) | p = 0,0198</w:t>
            </w:r>
          </w:p>
        </w:tc>
        <w:tc>
          <w:tcPr>
            <w:tcW w:type="dxa" w:w="151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PSO (ARIMAX+RF)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8"/>
              </w:rPr>
              <w:t>Covariável Exógena - Consumo automotivo e pressão de curto prazo em transporte.</w:t>
            </w:r>
          </w:p>
        </w:tc>
      </w:tr>
      <w:tr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8"/>
              </w:rPr>
              <w:t>d_Consumo_Óleo_Combustível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1395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Float64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1ª Diferença (Δ)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I(0) | p &lt; 0,0001</w:t>
            </w:r>
          </w:p>
        </w:tc>
        <w:tc>
          <w:tcPr>
            <w:tcW w:type="dxa" w:w="151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Base Geral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8"/>
              </w:rPr>
              <w:t>Covariável Exógena - Indicador logístico do transporte pesado de carga.</w:t>
            </w:r>
          </w:p>
        </w:tc>
      </w:tr>
      <w:tr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8"/>
              </w:rPr>
              <w:t>d_Consumo_Energia_Comercial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1402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Float64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1ª Diferença (Δ)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I(0) | p = 0,0016</w:t>
            </w:r>
          </w:p>
        </w:tc>
        <w:tc>
          <w:tcPr>
            <w:tcW w:type="dxa" w:w="151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GA (ARIMAX+RF) / PSO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8"/>
              </w:rPr>
              <w:t>Covariável Exógena - Carga elétrica faturada no comércio (proxy em tempo real).</w:t>
            </w:r>
          </w:p>
        </w:tc>
      </w:tr>
      <w:tr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8"/>
              </w:rPr>
              <w:t>d_log_Consumo_Energia_Residencial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1403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Float64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Log-Diferença (Δ ln)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I(0) | p = 0,0386</w:t>
            </w:r>
          </w:p>
        </w:tc>
        <w:tc>
          <w:tcPr>
            <w:tcW w:type="dxa" w:w="151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Base Geral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8"/>
              </w:rPr>
              <w:t>Covariável Exógena - Padrão de consumo elétrico das famílias desprovido de tarifa.</w:t>
            </w:r>
          </w:p>
        </w:tc>
      </w:tr>
      <w:tr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8"/>
              </w:rPr>
              <w:t>d_Consumo_Energia_Total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1406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Float64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1ª Diferença (Δ)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I(0) | p = 0,0106</w:t>
            </w:r>
          </w:p>
        </w:tc>
        <w:tc>
          <w:tcPr>
            <w:tcW w:type="dxa" w:w="151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Base Geral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8"/>
              </w:rPr>
              <w:t>Covariável Exógena - Demanda física global de energia elétrica de todos os setores.</w:t>
            </w:r>
          </w:p>
        </w:tc>
      </w:tr>
      <w:tr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8"/>
              </w:rPr>
              <w:t>mes_sin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Float64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Harmônica Seno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I(0) | Estacionária</w:t>
            </w:r>
          </w:p>
        </w:tc>
        <w:tc>
          <w:tcPr>
            <w:tcW w:type="dxa" w:w="151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Todas as Configurações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8"/>
              </w:rPr>
              <w:t>Covariável Sazonal - Projeção harmônica cíclica ortogonal sin(2π m / 12).</w:t>
            </w:r>
          </w:p>
        </w:tc>
      </w:tr>
      <w:tr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8"/>
              </w:rPr>
              <w:t>mes_cos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Float64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Harmônica Cosseno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I(0) | Estacionária</w:t>
            </w:r>
          </w:p>
        </w:tc>
        <w:tc>
          <w:tcPr>
            <w:tcW w:type="dxa" w:w="151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Todas as Configurações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8"/>
              </w:rPr>
              <w:t>Covariável Sazonal - Projeção harmônica cíclica ortogonal cos(2π m / 12).</w:t>
            </w:r>
          </w:p>
        </w:tc>
      </w:tr>
      <w:tr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/>
                <w:sz w:val="18"/>
              </w:rPr>
              <w:t>Lags Exógenos (t-1 a t-3)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Vários</w:t>
            </w:r>
          </w:p>
        </w:tc>
        <w:tc>
          <w:tcPr>
            <w:tcW w:type="dxa" w:w="79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Float64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Deslocamento Temporal</w:t>
            </w:r>
          </w:p>
        </w:tc>
        <w:tc>
          <w:tcPr>
            <w:tcW w:type="dxa" w:w="122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I(0) | Estacionária</w:t>
            </w:r>
          </w:p>
        </w:tc>
        <w:tc>
          <w:tcPr>
            <w:tcW w:type="dxa" w:w="1512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Modelos Temporais</w:t>
            </w:r>
          </w:p>
        </w:tc>
        <w:tc>
          <w:tcPr>
            <w:tcW w:type="dxa" w:w="2304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Arial" w:hAnsi="Arial"/>
                <w:b w:val="0"/>
                <w:sz w:val="18"/>
              </w:rPr>
              <w:t>Covariáveis Dinâmicas - Captura da inércia inflacionária e defasagens de transmissão.</w:t>
            </w:r>
          </w:p>
        </w:tc>
      </w:tr>
    </w:tbl>
    <w:p>
      <w:pPr>
        <w:spacing w:before="40" w:after="160" w:line="276" w:lineRule="auto"/>
        <w:jc w:val="center"/>
      </w:pPr>
      <w:r>
        <w:rPr>
          <w:rFonts w:ascii="Arial" w:hAnsi="Arial"/>
          <w:sz w:val="23"/>
        </w:rPr>
        <w:t>Fonte: Elaboração própria com base no pipeline computacional desenvolvido (2026).</w:t>
      </w:r>
    </w:p>
    <w:p>
      <w:pPr>
        <w:spacing w:before="320" w:after="120" w:line="276" w:lineRule="auto"/>
        <w:jc w:val="left"/>
      </w:pPr>
      <w:r>
        <w:rPr>
          <w:rFonts w:ascii="Arial" w:hAnsi="Arial"/>
          <w:b/>
          <w:sz w:val="26"/>
        </w:rPr>
        <w:t>Referências Bibliográficas</w:t>
      </w:r>
    </w:p>
    <w:p>
      <w:pPr>
        <w:spacing w:before="40" w:after="80" w:line="252" w:lineRule="auto"/>
        <w:jc w:val="both"/>
      </w:pPr>
      <w:r>
        <w:rPr>
          <w:rFonts w:ascii="Arial" w:hAnsi="Arial"/>
          <w:sz w:val="19"/>
        </w:rPr>
        <w:t>[1] BOX, G. E.; JENKINS, G. M.; REINSEL, G. C.; LJUNG, G. M. Time Series Analysis: Forecasting and Control. 5. ed. Hoboken: John Wiley &amp; Sons, 2015.</w:t>
      </w:r>
    </w:p>
    <w:p>
      <w:pPr>
        <w:spacing w:before="40" w:after="80" w:line="252" w:lineRule="auto"/>
        <w:jc w:val="both"/>
      </w:pPr>
      <w:r>
        <w:rPr>
          <w:rFonts w:ascii="Arial" w:hAnsi="Arial"/>
          <w:sz w:val="19"/>
        </w:rPr>
        <w:t>[2] BANCO CENTRAL DO BRASIL (BACEN). Sistema Gerenciador de Séries Temporais (SGS). Disponível em: &lt;https://www3.bcb.gov.br/sgspub/&gt;. Acesso em: 16 set. 2026.</w:t>
      </w:r>
    </w:p>
    <w:p>
      <w:pPr>
        <w:spacing w:before="40" w:after="80" w:line="252" w:lineRule="auto"/>
        <w:jc w:val="both"/>
      </w:pPr>
      <w:r>
        <w:rPr>
          <w:rFonts w:ascii="Arial" w:hAnsi="Arial"/>
          <w:sz w:val="19"/>
        </w:rPr>
        <w:t>[3] ZHANG, G. P. Time series forecasting using a hybrid ARIMA and neural network model. Neurocomputing, v. 50, p. 159–175, 2003.</w:t>
      </w:r>
    </w:p>
    <w:p>
      <w:pPr>
        <w:spacing w:before="40" w:after="80" w:line="252" w:lineRule="auto"/>
        <w:jc w:val="both"/>
      </w:pPr>
      <w:r>
        <w:rPr>
          <w:rFonts w:ascii="Arial" w:hAnsi="Arial"/>
          <w:sz w:val="19"/>
        </w:rPr>
        <w:t>[4] KHANDANI, A. E.; KIM, A. J.; LO, A. W. Consumer credit-risk models via machine-learning algorithms. Journal of Banking &amp; Finance, v. 34, n. 11, p. 2767–2787, 2010.</w:t>
      </w:r>
    </w:p>
    <w:p>
      <w:pPr>
        <w:spacing w:before="40" w:after="80" w:line="252" w:lineRule="auto"/>
        <w:jc w:val="both"/>
      </w:pPr>
      <w:r>
        <w:rPr>
          <w:rFonts w:ascii="Arial" w:hAnsi="Arial"/>
          <w:sz w:val="19"/>
        </w:rPr>
        <w:t>[5] KENNEDY, J.; EBERHART, R. Particle swarm optimization. In: PROCEEDINGS OF ICNN'95 - INTERNATIONAL CONFERENCE ON NEURAL NETWORKS, v. 4, p. 1942–1948, 1995.</w:t>
      </w:r>
    </w:p>
    <w:p>
      <w:pPr>
        <w:spacing w:before="40" w:after="80" w:line="252" w:lineRule="auto"/>
        <w:jc w:val="both"/>
      </w:pPr>
      <w:r>
        <w:rPr>
          <w:rFonts w:ascii="Arial" w:hAnsi="Arial"/>
          <w:sz w:val="19"/>
        </w:rPr>
        <w:t>[6] HOLLAND, J. H. Adaptation in Natural and Artificial Systems: An Introductory Analysis with Applications to Biology, Control, and Artificial Intelligence. Cambridge: MIT Press, 1992.</w:t>
      </w:r>
    </w:p>
    <w:p>
      <w:pPr>
        <w:spacing w:before="40" w:after="80" w:line="252" w:lineRule="auto"/>
        <w:jc w:val="both"/>
      </w:pPr>
      <w:r>
        <w:rPr>
          <w:rFonts w:ascii="Arial" w:hAnsi="Arial"/>
          <w:sz w:val="19"/>
        </w:rPr>
        <w:t>[7] INSTITUTO BRASILEIRO DE GEOGRAFIA E ESTATÍSTICA (IBGE). Sistema Nacional de Índices de Preços ao Consumidor (SNIPC): Metodologia do IPCA e INPC. Rio de Janeiro: IBGE, 2020.</w:t>
      </w:r>
    </w:p>
    <w:p>
      <w:pPr>
        <w:spacing w:before="40" w:after="80" w:line="252" w:lineRule="auto"/>
        <w:jc w:val="both"/>
      </w:pPr>
      <w:r>
        <w:rPr>
          <w:rFonts w:ascii="Arial" w:hAnsi="Arial"/>
          <w:sz w:val="19"/>
        </w:rPr>
        <w:t>[8] HYNDMAN, R. J.; ATHANASOPOULOS, G. Forecasting: Principles and Practice. 3. ed. Melbourne: OTexts, 2021.</w:t>
      </w:r>
    </w:p>
    <w:p>
      <w:pPr>
        <w:spacing w:before="40" w:after="80" w:line="252" w:lineRule="auto"/>
        <w:jc w:val="both"/>
      </w:pPr>
      <w:r>
        <w:rPr>
          <w:rFonts w:ascii="Arial" w:hAnsi="Arial"/>
          <w:sz w:val="19"/>
        </w:rPr>
        <w:t>[9] HASTIE, T.; TIBSHIRANI, R.; FRIEDMAN, J. The Elements of Statistical Learning: Data Mining, Inference, and Prediction. 2. ed. New York: Springer, 2009.</w:t>
      </w:r>
    </w:p>
    <w:p>
      <w:pPr>
        <w:spacing w:before="40" w:after="80" w:line="252" w:lineRule="auto"/>
        <w:jc w:val="both"/>
      </w:pPr>
      <w:r>
        <w:rPr>
          <w:rFonts w:ascii="Arial" w:hAnsi="Arial"/>
          <w:sz w:val="19"/>
        </w:rPr>
        <w:t>[10] PEDREGOSA, F. et al. Scikit-learn: Machine Learning in Python. Journal of Machine Learning Research, v. 12, p. 2825–2830, 2011.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