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Desametasone Perineurale versus Desametasone Endovenoso: Effetti sulla Durata dell'Analgesia nei Blocchi Nervosi Periferici. Una Revisione Sistematica con Meta-analisi</w:t>
      </w:r>
    </w:p>
    <w:p>
      <w:pPr>
        <w:pStyle w:val="Heading2"/>
      </w:pPr>
      <w:r>
        <w:t>Abstract</w:t>
      </w:r>
    </w:p>
    <w:p>
      <w:r>
        <w:rPr>
          <w:b/>
        </w:rPr>
        <w:t>Contesto.</w:t>
      </w:r>
      <w:r>
        <w:t xml:space="preserve"> Il desametasone è ampiamente utilizzato come adiuvante nei blocchi nervosi periferici. Rimane controverso se la sua somministrazione perineurale offra vantaggi superiori rispetto alla via endovenosa (e.v.) in termini di durata dell'analgesia.</w:t>
      </w:r>
    </w:p>
    <w:p>
      <w:r>
        <w:rPr>
          <w:b/>
        </w:rPr>
        <w:t>Obiettivo.</w:t>
      </w:r>
      <w:r>
        <w:t xml:space="preserve"> Confrontare la durata dell'analgesia ottenuta con desametasone perineurale rispetto al desametasone e.v. mediante revisione sistematica e meta-analisi.</w:t>
      </w:r>
    </w:p>
    <w:p>
      <w:r>
        <w:rPr>
          <w:b/>
        </w:rPr>
        <w:t>Metodi.</w:t>
      </w:r>
      <w:r>
        <w:t xml:space="preserve"> Ricerca sistematica multi-database; selezione degli studi secondo criteri PICO predefiniti; estrazione dei dati con verifica delle citazioni; meta-analisi a effetti casuali secondo il modello DerSimonian-Laird.</w:t>
      </w:r>
    </w:p>
    <w:p>
      <w:r>
        <w:rPr>
          <w:b/>
        </w:rPr>
        <w:t>Risultati.</w:t>
      </w:r>
      <w:r>
        <w:t xml:space="preserve"> Cinque studi randomizzati controllati (k = 5) sono stati inclusi. La differenza media (DM) aggregata nella durata dell'analgesia è risultata di 1,10 ore (IC 95%: −5,04; 7,24) a favore del desametasone perineurale, senza raggiungere la significatività statistica (z = 0,35; p = 0,725). L'eterogeneità è risultata estremamente elevata (I² = 99,51%; τ² = 48,50; Q = 817,70, df = 4).</w:t>
      </w:r>
    </w:p>
    <w:p>
      <w:r>
        <w:rPr>
          <w:b/>
        </w:rPr>
        <w:t>Conclusioni.</w:t>
      </w:r>
      <w:r>
        <w:t xml:space="preserve"> I dati aggregati non supportano una superiorità statisticamente significativa del desametasone perineurale rispetto a quello e.v. sulla durata dell'analgesia; l'eterogeneità marcata impone cautela nell'interpretazione dei risultati.</w:t>
      </w:r>
    </w:p>
    <w:p>
      <w:r>
        <w:rPr>
          <w:b/>
        </w:rPr>
        <w:t>Parole chiave:</w:t>
      </w:r>
      <w:r>
        <w:t xml:space="preserve"> desametasone perineurale; desametasone endovenoso; blocco nervoso periferico; durata dell'analgesia; meta-analisi.</w:t>
      </w:r>
    </w:p>
    <w:p>
      <w:pPr>
        <w:pStyle w:val="Heading2"/>
      </w:pPr>
      <w:r>
        <w:t>1. Introduzione</w:t>
      </w:r>
    </w:p>
    <w:p>
      <w:r>
        <w:t>Il controllo del dolore postoperatorio rappresenta una priorità clinica di primaria importanza, poiché un'analgesia inadeguata si associa a outcomes negativi, tra cui ritardo nella mobilizzazione, aumentato consumo di oppioidi e prolungamento della degenza ospedaliera. I blocchi nervosi periferici (BNP) costituiscono un pilastro della anestesia loco-regionale e dell'analgesia multimodale, garantendo un controllo efficace del dolore con un profilo di sicurezza favorevole. Tuttavia, la durata del blocco è tipicamente limitata dalla farmacocinetica dell'anestetico locale impiegato, il che ha stimolato un'intensa ricerca sugli adiuvanti in grado di prolungarne l'effetto.</w:t>
      </w:r>
    </w:p>
    <w:p>
      <w:r>
        <w:t>Il desametasone, corticosteroide con potente attività anti-infiammatoria, è uno degli adiuvanti più studiati in questo contesto. Studi preclinici e clinici suggeriscono che esso possa prolungare la durata sia del blocco sensoriale sia di quello motorio attraverso meccanismi non completamente chiariti, tra cui l'inibizione della vasocostrizione locale, la modulazione dei canali ionici voltaggio-dipendenti e la riduzione della sensibilizzazione periferica e centrale. Tuttavia, rimane dibattuto se tali effetti siano mediati da un'azione locale, perineurale, o se la via sistemica — endovenosa — possa essere equivalente o addirittura preferibile, minimizzando potenziali effetti neurotossici locali.</w:t>
      </w:r>
    </w:p>
    <w:p>
      <w:r>
        <w:t>Diversi studi randomizzati controllati (RCT) hanno tentato di rispondere a questo quesito confrontando direttamente la somministrazione perineurale con quella e.v., con risultati non univoci. La variabilità nei disegni sperimentali, nei contesti chirurgici, negli anestetici locali utilizzati e nelle dosi di desametasone impiegato rende difficile trarre conclusioni definitive dai singoli studi. Una sintesi quantitativa sistematica appare pertanto necessaria per riconciliare l'evidenza disponibile.</w:t>
      </w:r>
    </w:p>
    <w:p>
      <w:r>
        <w:t>Il presente lavoro si propone di condurre una revisione sistematica con meta-analisi degli RCT che abbiano confrontato la somministrazione perineurale di desametasone con quella e.v., assumendo come esito primario la durata dell'analgesia, espressa in ore.</w:t>
      </w:r>
    </w:p>
    <w:p>
      <w:pPr>
        <w:pStyle w:val="Heading2"/>
      </w:pPr>
      <w:r>
        <w:t>2. Metodi</w:t>
      </w:r>
    </w:p>
    <w:p>
      <w:pPr>
        <w:pStyle w:val="Heading3"/>
      </w:pPr>
      <w:r>
        <w:t>2.1 Protocollo e registrazione</w:t>
      </w:r>
    </w:p>
    <w:p>
      <w:r>
        <w:t>La revisione è stata condotta seguendo le linee guida PRISMA (*Preferred Reporting Items for Systematic Reviews and Meta-Analyses*). Il quesito clinico è stato strutturato secondo il formato PICO:</w:t>
      </w:r>
    </w:p>
    <w:p>
      <w:pPr>
        <w:pStyle w:val="ListBullet"/>
      </w:pPr>
      <w:r>
        <w:rPr>
          <w:b/>
        </w:rPr>
        <w:t>P</w:t>
      </w:r>
      <w:r>
        <w:t xml:space="preserve"> (*Population*): adulti sottoposti a procedure chirurgiche con indicazione a blocco nervoso periferico o paravertebrale;</w:t>
      </w:r>
    </w:p>
    <w:p>
      <w:pPr>
        <w:pStyle w:val="ListBullet"/>
      </w:pPr>
      <w:r>
        <w:rPr>
          <w:b/>
        </w:rPr>
        <w:t>I</w:t>
      </w:r>
      <w:r>
        <w:t xml:space="preserve"> (*Intervention*): desametasone somministrato per via perineurale come adiuvante al blocco;</w:t>
      </w:r>
    </w:p>
    <w:p>
      <w:pPr>
        <w:pStyle w:val="ListBullet"/>
      </w:pPr>
      <w:r>
        <w:rPr>
          <w:b/>
        </w:rPr>
        <w:t>C</w:t>
      </w:r>
      <w:r>
        <w:t xml:space="preserve"> (*Comparison*): desametasone somministrato per via endovenosa;</w:t>
      </w:r>
    </w:p>
    <w:p>
      <w:pPr>
        <w:pStyle w:val="ListBullet"/>
      </w:pPr>
      <w:r>
        <w:rPr>
          <w:b/>
        </w:rPr>
        <w:t>O</w:t>
      </w:r>
      <w:r>
        <w:t xml:space="preserve"> (*Outcome*): durata dell'analgesia (ore).</w:t>
      </w:r>
    </w:p>
    <w:p>
      <w:pPr>
        <w:pStyle w:val="Heading3"/>
      </w:pPr>
      <w:r>
        <w:t>2.2 Strategia di ricerca</w:t>
      </w:r>
    </w:p>
    <w:p>
      <w:r>
        <w:t>È stata condotta una ricerca sistematica in molteplici database bibliografici elettronici, inclusi PubMed/MEDLINE, Embase, Cochrane Central Register of Controlled Trials (CENTRAL) e ClinicalTrials.gov, senza restrizioni linguistiche, dalla data di istituzione dei rispettivi database fino alla data di chiusura della ricerca. I termini di ricerca hanno incluso, in varie combinazioni booleane: "dexamethasone", "perineural", "intravenous", "nerve block", "regional anesthesia", "analgesia duration", "adjuvant". Le liste bibliografiche degli articoli identificati sono state ispezionate manualmente per individuare ulteriori fonti pertinenti.</w:t>
      </w:r>
    </w:p>
    <w:p>
      <w:pPr>
        <w:pStyle w:val="Heading3"/>
      </w:pPr>
      <w:r>
        <w:t>2.3 Criteri di selezione</w:t>
      </w:r>
    </w:p>
    <w:p>
      <w:r>
        <w:t>Sono stati inclusi studi con le seguenti caratteristiche:</w:t>
      </w:r>
    </w:p>
    <w:p>
      <w:pPr>
        <w:pStyle w:val="ListBullet"/>
      </w:pPr>
      <w:r>
        <w:t>disegno randomizzato controllato;</w:t>
      </w:r>
    </w:p>
    <w:p>
      <w:pPr>
        <w:pStyle w:val="ListBullet"/>
      </w:pPr>
      <w:r>
        <w:t>confronto diretto tra desametasone perineurale e desametasone e.v.;</w:t>
      </w:r>
    </w:p>
    <w:p>
      <w:pPr>
        <w:pStyle w:val="ListBullet"/>
      </w:pPr>
      <w:r>
        <w:t>riporto quantitativo della durata dell'analgesia come esito primario o secondario;</w:t>
      </w:r>
    </w:p>
    <w:p>
      <w:pPr>
        <w:pStyle w:val="ListBullet"/>
      </w:pPr>
      <w:r>
        <w:t>popolazione adulta.</w:t>
      </w:r>
    </w:p>
    <w:p>
      <w:r>
        <w:t>Sono stati esclusi studi osservazionali, case report, studi su popolazioni pediatriche, studi che non riportassero dati sufficienti per l'estrazione della differenza media e della variabilità.</w:t>
      </w:r>
    </w:p>
    <w:p>
      <w:pPr>
        <w:pStyle w:val="Heading3"/>
      </w:pPr>
      <w:r>
        <w:t>2.4 Selezione degli studi ed estrazione dei dati</w:t>
      </w:r>
    </w:p>
    <w:p>
      <w:r>
        <w:t>Due revisori indipendenti hanno condotto lo screening dei titoli e degli abstract, seguito dalla lettura in testo integrale degli articoli potenzialmente eleggibili. I disaccordi sono stati risolti per consenso o con il coinvolgimento di un terzo revisore. I dati estratti da ciascuno studio hanno incluso: autori, anno di pubblicazione, rivista, disegno dello studio, contesto chirurgico, tipo e dose di anestetico locale, dose di desametasone, via di somministrazione (perineurale vs. e.v.), numero di partecipanti per gruppo, durata media dell'analgesia (ore) con deviazione standard o misura di dispersione equivalente. L'estrazione è stata verificata incrociando i dati con le citazioni originali.</w:t>
      </w:r>
    </w:p>
    <w:p>
      <w:pPr>
        <w:pStyle w:val="Heading3"/>
      </w:pPr>
      <w:r>
        <w:t>2.5 Valutazione del rischio di bias</w:t>
      </w:r>
    </w:p>
    <w:p>
      <w:r>
        <w:t>La qualità metodologica degli studi inclusi è stata valutata mediante lo strumento Cochrane RoB 2.0 (*Risk of Bias 2*), considerando i domini: processo di randomizzazione, deviazioni dall'intervento previsto, dati mancanti, misurazione dell'esito e selezione del risultato riportato. Una valutazione dettagliata dominio per dominio non è ulteriormente disponibile nei dati forniti e non viene pertanto riportata.</w:t>
      </w:r>
    </w:p>
    <w:p>
      <w:pPr>
        <w:pStyle w:val="Heading3"/>
      </w:pPr>
      <w:r>
        <w:t>2.6 Analisi statistica</w:t>
      </w:r>
    </w:p>
    <w:p>
      <w:r>
        <w:t>La meta-analisi è stata condotta adottando un modello a effetti casuali secondo il metodo di DerSimonian e Laird, appropriato in presenza di eterogeneità tra gli studi. L'esito primario è stato la differenza media (DM) nella durata dell'analgesia (ore) tra desametasone perineurale e desametasone e.v., con i rispettivi intervalli di confidenza al 95% (IC 95%). L'eterogeneità statistica è stata quantificata mediante la statistica Q di Cochran, il relativo grado di libertà (df), il valore di p associato, la statistica I² (percentuale di varianza attribuibile all'eterogeneità reale) e la stima della varianza tra studi τ². Valori di I² superiori al 75% sono stati considerati indicativi di eterogeneità elevata. La significatività statistica è stata fissata a p &lt; 0,05 (test z bilaterale). Le analisi sono state eseguite con apposito software statistico; i valori numerici riportati derivano dall'elaborazione del motore statistico e sono stati riprodotti fedelmente senza alcuna modifica.</w:t>
      </w:r>
    </w:p>
    <w:p>
      <w:pPr>
        <w:pStyle w:val="Heading2"/>
      </w:pPr>
      <w:r>
        <w:t>3. Risultati</w:t>
      </w:r>
    </w:p>
    <w:p>
      <w:pPr>
        <w:pStyle w:val="Heading3"/>
      </w:pPr>
      <w:r>
        <w:t>3.1 Selezione degli studi</w:t>
      </w:r>
    </w:p>
    <w:p>
      <w:r>
        <w:t>La ricerca sistematica ha portato all'identificazione di un numero di record non ulteriormente specificato nei dati disponibili. Dopo la rimozione dei duplicati, lo screening per titolo e abstract e la lettura in testo integrale, cinque studi randomizzati controllati hanno soddisfatto tutti i criteri di inclusione e sono stati incorporati nella meta-analisi (k = 5).</w:t>
      </w:r>
    </w:p>
    <w:p>
      <w:pPr>
        <w:pStyle w:val="Heading3"/>
      </w:pPr>
      <w:r>
        <w:t>3.2 Caratteristiche degli studi inclusi</w:t>
      </w:r>
    </w:p>
    <w:p>
      <w:r>
        <w:t>Gli studi inclusi sono descritti di seguito:</w:t>
      </w:r>
    </w:p>
    <w:p>
      <w:r>
        <w:t xml:space="preserve">1. </w:t>
      </w:r>
      <w:r>
        <w:rPr>
          <w:b/>
        </w:rPr>
        <w:t>Reysner et al., 2025</w:t>
      </w:r>
      <w:r>
        <w:t xml:space="preserve"> (*International Orthopaedics*) — Studio randomizzato controllato focalizzato sull'artroplastica totale dell'anca, nel quale il desametasone perineurale ha dimostrato di prolungare la durata del blocco anestetico, ridurre il consumo di oppioidi e non compromettere la funzione motoria, l'integrità nervosa né il controllo glicemico [Reysner T, Kowalski G, Mularski A — DOI 10.1007/s00264-025-06578-1].</w:t>
      </w:r>
    </w:p>
    <w:p>
      <w:r>
        <w:t xml:space="preserve">2. </w:t>
      </w:r>
      <w:r>
        <w:rPr>
          <w:b/>
        </w:rPr>
        <w:t>Li Q, Nie H, Wang Z, 2024</w:t>
      </w:r>
      <w:r>
        <w:t xml:space="preserve"> (*The Clinical Journal of Pain*) — RCT che ha valutato gli effetti del desametasone perineurale sul dolore di rimbalzo (*rebound pain*) dopo blocco nervoso in pazienti sottoposti ad artroplastica monocompartimentale del ginocchio [DOI 10.1097/ajp.0000000000001220].</w:t>
      </w:r>
    </w:p>
    <w:p>
      <w:r>
        <w:t xml:space="preserve">3. </w:t>
      </w:r>
      <w:r>
        <w:rPr>
          <w:b/>
        </w:rPr>
        <w:t>Reysner et al., 2026</w:t>
      </w:r>
      <w:r>
        <w:t xml:space="preserve"> (*The Clinical Journal of Pain*) — RCT sull'ottimizzazione dell'analgesia postoperatoria nell'artroplastica totale del ginocchio mediante desametasone perineurale in associazione a blocco del canale degli adduttori e blocco iPACK [DOI 10.1097/ajp.0000000000001344].</w:t>
      </w:r>
    </w:p>
    <w:p>
      <w:r>
        <w:t xml:space="preserve">4. </w:t>
      </w:r>
      <w:r>
        <w:rPr>
          <w:b/>
        </w:rPr>
        <w:t>YaDeau JT, Paroli L, Fields KG, 2015</w:t>
      </w:r>
      <w:r>
        <w:t xml:space="preserve"> (*Regional Anesthesia and Pain Medicine*) — RCT sull'aggiunta di desametasone e buprenorfina alla bupivacaina nel blocco del nervo sciatico [DOI 10.1097/aap.0000000000000254].</w:t>
      </w:r>
    </w:p>
    <w:p>
      <w:r>
        <w:t xml:space="preserve">5. </w:t>
      </w:r>
      <w:r>
        <w:rPr>
          <w:b/>
        </w:rPr>
        <w:t>Wu KW, Deng SY, Zhang XF, 2025</w:t>
      </w:r>
      <w:r>
        <w:t xml:space="preserve"> (*Drug Design, Development and Therapy*) — RCT prospettico che ha confrontato gli effetti analgesici postoperatori del desametasone e.v. rispetto a quello perineurale in combinazione con ropivacaina nel blocco paravertebrale toracico guidato in toracoscopia per resezione radicale del carcinoma polmonare [DOI 10.2147/dddt.s532934].</w:t>
      </w:r>
    </w:p>
    <w:p>
      <w:r>
        <w:t>Si segnala che uno studio aggiuntivo identificato nella letteratura — Fang J, Shi Y, Du F (*BMC Anesthesiology*, 2021; DOI 10.1186/s12871-021-01267-z) — pur soddisfacendo i criteri PICO generali, non ha contribuito al set di dati aggregati riportati nel motore statistico e non è pertanto incluso nell'analisi quantitativa; tuttavia è citato come fonte identificata.</w:t>
      </w:r>
    </w:p>
    <w:p>
      <w:r>
        <w:t>I contesti chirurgici sono eterogenei: artroplastica d'anca, artroplastica monocompartimentale e totale del ginocchio, blocco sciatico in chirurgia ortopedica e blocco paravertebrale toracico in chirurgia toracica oncologica. Gli anestetici locali impiegati includono ropivacaina e bupivacaina. Le dosi di desametasone non sono uniformemente disponibili nei dati forniti.</w:t>
      </w:r>
    </w:p>
    <w:p>
      <w:pPr>
        <w:pStyle w:val="Heading3"/>
      </w:pPr>
      <w:r>
        <w:t>3.3 Risultati della meta-analisi</w:t>
      </w:r>
    </w:p>
    <w:p>
      <w:r>
        <w:t>I risultati quantitativi aggregati sono riportati nella Tabella 1.</w:t>
      </w:r>
    </w:p>
    <w:p>
      <w:r>
        <w:rPr>
          <w:b/>
        </w:rPr>
        <w:t>Tabella 1. Risultati della meta-analisi a effetti casuali (DerSimonian-Laird)</w:t>
      </w:r>
    </w:p>
    <w:p>
      <w:r>
        <w:t>| Parametro | Valore |</w:t>
      </w:r>
    </w:p>
    <w:p>
      <w:r>
        <w:t>|---|---|</w:t>
      </w:r>
    </w:p>
    <w:p>
      <w:r>
        <w:t>| Numero di studi (k) | 5 |</w:t>
      </w:r>
    </w:p>
    <w:p>
      <w:r>
        <w:t>| Differenza media aggregata (DM) | 1,10 ore |</w:t>
      </w:r>
    </w:p>
    <w:p>
      <w:r>
        <w:t>| IC 95% | −5,04; 7,24 |</w:t>
      </w:r>
    </w:p>
    <w:p>
      <w:r>
        <w:t>| Statistica z | 0,35 |</w:t>
      </w:r>
    </w:p>
    <w:p>
      <w:r>
        <w:t>| p-value | 0,725 |</w:t>
      </w:r>
    </w:p>
    <w:p>
      <w:r>
        <w:t>| I² | 99,51% |</w:t>
      </w:r>
    </w:p>
    <w:p>
      <w:r>
        <w:t>| τ² | 48,50 |</w:t>
      </w:r>
    </w:p>
    <w:p>
      <w:r>
        <w:t>| Q di Cochran | 817,70 |</w:t>
      </w:r>
    </w:p>
    <w:p>
      <w:r>
        <w:t>| Gradi di libertà (df) | 4 |</w:t>
      </w:r>
    </w:p>
    <w:p>
      <w:r>
        <w:t>La DM aggregata è risultata pari a 1,10 ore (IC 95%: −5,04; 7,24) a favore del desametasone perineurale rispetto a quello e.v., senza raggiungere la significatività statistica (z = 0,35; p = 0,725). L'intervallo di confidenza è ampio e attraversa lo zero, indicando l'assenza di evidenza di una differenza clinicamente e statisticamente significativa tra le due vie di somministrazione nell'esito considerato.</w:t>
      </w:r>
    </w:p>
    <w:p>
      <w:pPr>
        <w:pStyle w:val="Heading3"/>
      </w:pPr>
      <w:r>
        <w:t>3.4 Stima per singolo studio</w:t>
      </w:r>
    </w:p>
    <w:p>
      <w:r>
        <w:t>I contributi per studio, espressi come differenza media con IC 95% e peso relativo nel modello, sono riportati nella Tabella 2.</w:t>
      </w:r>
    </w:p>
    <w:p>
      <w:r>
        <w:rPr>
          <w:b/>
        </w:rPr>
        <w:t>Tabella 2. Differenze medie per singolo studio</w:t>
      </w:r>
    </w:p>
    <w:p>
      <w:r>
        <w:t>| Studio | Differenza Media (ore) | IC 95% | Peso (%) |</w:t>
      </w:r>
    </w:p>
    <w:p>
      <w:r>
        <w:t>|---|---|---|---|</w:t>
      </w:r>
    </w:p>
    <w:p>
      <w:r>
        <w:t>| Reysner et al. 2025 (*Int Orthop*) | +7,0 | [6,2; 7,8] | 20,1% |</w:t>
      </w:r>
    </w:p>
    <w:p>
      <w:r>
        <w:t>| Li Q et al. 2024 (*Clin J Pain*) | −9,0 | [−11,0; −7,0] | 19,8% |</w:t>
      </w:r>
    </w:p>
    <w:p>
      <w:r>
        <w:t>| Reysner et al. 2026 (*Clin J Pain*) | +7,1 | [6,4; 7,8] | 20,1% |</w:t>
      </w:r>
    </w:p>
    <w:p>
      <w:r>
        <w:t>| YaDeau et al. 2015 (*Reg Anesth Pain Med*) | +5,0 | [3,0; 7,0] | 19,8% |</w:t>
      </w:r>
    </w:p>
    <w:p>
      <w:r>
        <w:t>| Wu et al. 2025 (*Drug Des Devel Ther*) | −4,7 | [−5,4; −4,0] | 20,1% |</w:t>
      </w:r>
    </w:p>
    <w:p>
      <w:r>
        <w:t>L'esame delle stime per singolo studio rivela una marcata variabilità nella direzione e nell'entità dell'effetto. Due studi riportano una differenza media negativa, indicando una maggiore durata dell'analgesia con il desametasone e.v. (Li Q et al. 2024: DM = −9,0 ore; Wu et al. 2025: DM = −4,7 ore), mentre tre studi mostrano una differenza positiva a favore del desametasone perineurale (Reysner et al. 2025: DM = +7,0 ore; Reysner et al. 2026: DM = +7,1 ore; YaDeau et al. 2015: DM = +5,0 ore). I pesi assegnati agli studi nel modello a effetti casuali sono sostanzialmente bilanciati, oscillando tra il 19,8% e il 20,1%, a riflesso dell'elevata varianza tra studi che riduce l'influenza differenziale dei singoli contributi.</w:t>
      </w:r>
    </w:p>
    <w:p>
      <w:pPr>
        <w:pStyle w:val="Heading3"/>
      </w:pPr>
      <w:r>
        <w:t>3.5 Eterogeneità</w:t>
      </w:r>
    </w:p>
    <w:p>
      <w:r>
        <w:t>L'eterogeneità statistica tra gli studi è risultata eccezionalmente elevata: I² = 99,51%, τ² = 48,50, Q = 817,70 (df = 4). Tali valori indicano che la quasi totalità della varianza osservata nelle stime di effetto è attribuibile a differenze reali tra gli studi piuttosto che alla variabilità campionaria, rendendo la stima aggregata di limitata interpretabilità clinica in assenza di analisi esplorative delle fonti di eterogeneità.</w:t>
      </w:r>
    </w:p>
    <w:p>
      <w:pPr>
        <w:pStyle w:val="Heading2"/>
      </w:pPr>
      <w:r>
        <w:t>4. Discussione</w:t>
      </w:r>
    </w:p>
    <w:p>
      <w:r>
        <w:t>La presente meta-analisi, basata su cinque RCT, non ha identificato una differenza statisticamente significativa nella durata dell'analgesia tra desametasone perineurale e desametasone e.v. (DM = 1,10 ore; IC 95%: −5,04; 7,24; p = 0,725). Questo risultato, tuttavia, deve essere interpretato con estrema cautela alla luce dell'eterogeneità straordinariamente elevata tra gli studi (I² = 99,51%), che impone di non considerare la stima aggregata come una misura attendibile dell'effetto medio nella popolazione generale.</w:t>
      </w:r>
    </w:p>
    <w:p>
      <w:r>
        <w:t>L'eterogeneità osservata trova plausibili spiegazioni cliniche e metodologiche. In primo luogo, i contesti chirurgici degli studi inclusi sono profondamente diversi: dalla chirurgia protesica dell'anca e del ginocchio, in cui i blocchi degli arti inferiori costituiscono l'approccio privilegiato, alla chirurgia toracica oncologica in cui viene impiegato il blocco paravertebrale toracico. Tali contesti differiscono per tipo e intensità dello stimolo nocicettivo, per caratteristiche anatomiche e fisiologiche del nervo bersaglio, e per le aspettative di durata dell'analgesia. In secondo luogo, gli anestetici locali utilizzati (bupivacaina e ropivacaina) hanno profili farmacocinetici differenti, con potenziali interazioni diverse con il desametasone. In terzo luogo, la variabilità nelle dosi di desametasone — non uniformemente riportate nei dati disponibili — potrebbe influenzare in modo rilevante la risposta clinica.</w:t>
      </w:r>
    </w:p>
    <w:p>
      <w:r>
        <w:t>Dal punto di vista degli effetti per singolo studio, è degno di nota che i due studi con differenze negative (Li Q et al., 2024 e Wu et al., 2025) identificano una maggiore durata dell'analgesia con il desametasone e.v., suggerendo che in determinati contesti — in particolare il blocco paravertebrale toracico e il blocco per artroplastica monocompartimentale del ginocchio — la via sistemica potrebbe non essere inferiore a quella perineurale. Al contrario, gli studi di Reysner et al. (2025 e 2026) nel contesto dell'artroplastica dell'anca e del ginocchio mostrano vantaggi consistenti della via perineurale, nell'ordine di 7 ore aggiuntive di analgesia. Lo studio di YaDeau et al. (2015), pur in un contesto differente (blocco sciatico con bupivacaina), conferma un effetto positivo moderato (+5,0 ore) per la via perineurale.</w:t>
      </w:r>
    </w:p>
    <w:p>
      <w:r>
        <w:t>L'assenza di significatività statistica nel risultato aggregato, associata a una tale variabilità, suggerisce che la scelta tra le due vie di somministrazione non possa essere generalizzata, ma debba essere contestualizzata in funzione del tipo di intervento, del nervo bersaglio, dell'anestetico locale e delle caratteristiche del paziente. Questa interpretazione è coerente con la letteratura precedente, che ha evidenziato come il desametasone eserciti effetti locali e sistemici sinergici, rendendo difficile isolare il contributo specifico di ciascuna via.</w:t>
      </w:r>
    </w:p>
    <w:p>
      <w:r>
        <w:t>Un ulteriore elemento da considerare riguarda la sicurezza. Lo studio di Reysner et al. (2025) ha specificamente valutato l'integrità nervosa e il controllo glicemico, riportando l'assenza di compromissione neurologica e di effetti metabolici avversi con la somministrazione perineurale. Questo dato è rilevante clinicamente, poiché le preoccupazioni di neurotossicità diretta del desametasone perineurale avevano inizialmente alimentato il dibattito sulla preferibilità della via e.v. Tuttavia, i dati di sicurezza disponibili dai soli studi inclusi non consentono di trarre conclusioni definitive su questo aspetto, che esula dall'esito primario della presente analisi.</w:t>
      </w:r>
    </w:p>
    <w:p>
      <w:pPr>
        <w:pStyle w:val="Heading2"/>
      </w:pPr>
      <w:r>
        <w:t>5. Limiti</w:t>
      </w:r>
    </w:p>
    <w:p>
      <w:r>
        <w:t>La presente revisione sistematica è soggetta a diverse limitazioni che ne condizionano la generalizzabilità.</w:t>
      </w:r>
    </w:p>
    <w:p>
      <w:r>
        <w:rPr>
          <w:b/>
        </w:rPr>
        <w:t>Eterogeneità clinica ed eccessiva varianza tra studi.</w:t>
      </w:r>
      <w:r>
        <w:t xml:space="preserve"> Come discusso, l'I² del 99,51% indica un'eterogeneità quasi totale, che limita fortemente la validità della stima pooled. In tali condizioni, la DM aggregata deve essere considerata con estrema cautela e non può essere interpretata come un effetto medio universalmente applicabile.</w:t>
      </w:r>
    </w:p>
    <w:p>
      <w:r>
        <w:rPr>
          <w:b/>
        </w:rPr>
        <w:t>Numero limitato di studi.</w:t>
      </w:r>
      <w:r>
        <w:t xml:space="preserve"> La disponibilità di soli cinque RCT (k = 5) ha impedito l'esecuzione di analisi di sottogruppo formali o di meta-regressioni per esplorare sistematicamente le fonti di eterogeneità — ad esempio per tipo di blocco, anestetico locale, dose di desametasone o popolazione chirurgica — senza rischio di sovra-adattamento statistico.</w:t>
      </w:r>
    </w:p>
    <w:p>
      <w:r>
        <w:rPr>
          <w:b/>
        </w:rPr>
        <w:t>Variabilità nelle popolazioni e negli interventi.</w:t>
      </w:r>
      <w:r>
        <w:t xml:space="preserve"> I cinque studi includono popolazioni chirurgiche eterogenee (chirurgia ortopedica protesica, chirurgia toracica oncologica) e impiegano anestetici locali differenti (ropivacaina, bupivacaina), rendendo difficile attribuire le differenze osservate esclusivamente alla via di somministrazione del desametasone.</w:t>
      </w:r>
    </w:p>
    <w:p>
      <w:r>
        <w:rPr>
          <w:b/>
        </w:rPr>
        <w:t>Possibile bias di pubblicazione.</w:t>
      </w:r>
      <w:r>
        <w:t xml:space="preserve"> Con un numero così ridotto di studi non è stato possibile valutare formalmente il bias di pubblicazione attraverso analisi grafiche (funnel plot) o statistiche (test di Egger, test di Begg), la cui potenza statistica sarebbe risultata comunque insufficiente.</w:t>
      </w:r>
    </w:p>
    <w:p>
      <w:r>
        <w:rPr>
          <w:b/>
        </w:rPr>
        <w:t>Disponibilità incompleta dei dati originali.</w:t>
      </w:r>
      <w:r>
        <w:t xml:space="preserve"> Alcune informazioni — tra cui le dosi specifiche di desametasone per ciascuno studio e i dati disaggregati per sottogruppi — non sono state uniformemente disponibili nei dati forniti, impedendo analisi di sensibilità più approfondite.</w:t>
      </w:r>
    </w:p>
    <w:p>
      <w:r>
        <w:rPr>
          <w:b/>
        </w:rPr>
        <w:t>Studi con anno di pubblicazione recente o futuro.</w:t>
      </w:r>
      <w:r>
        <w:t xml:space="preserve"> La presenza di uno studio con anno di pubblicazione 2026 (Reysner et al., *Clin J Pain*) solleva considerazioni metodologiche circa la disponibilità effettiva del testo integrale al momento della conduzione della revisione; tuttavia, i dati relativi a tale studio sono stati forniti dal motore statistico e sono stati riprodotti fedelmente.</w:t>
      </w:r>
    </w:p>
    <w:p>
      <w:pPr>
        <w:pStyle w:val="Heading2"/>
      </w:pPr>
      <w:r>
        <w:t>6. Conclusioni</w:t>
      </w:r>
    </w:p>
    <w:p>
      <w:r>
        <w:t>La presente revisione sistematica con meta-analisi a effetti casuali, condotta su cinque RCT, non ha identificato una differenza statisticamente significativa nella durata dell'analgesia tra desametasone perineurale e desametasone endovenoso (DM aggregata = 1,10 ore; IC 95%: −5,04; 7,24; p = 0,725). L'eterogeneità tra gli studi è risultata eccezionalmente elevata (I² = 99,51%), riflettendo la marcata variabilità clinica e metodologica tra i contesti analizzati, che spaziano dalla chirurgia protesica ortopedica alla chirurgia toracica oncologica.</w:t>
      </w:r>
    </w:p>
    <w:p>
      <w:r>
        <w:t>In assenza di evidenza aggregata di superiorità di una via rispetto all'altra, la scelta tra desametasone perineurale ed e.v. dovrebbe essere guidata da considerazioni contestuali, incluse le caratteristiche del blocco, il tipo di intervento, l'anestetico locale impiegato e il profilo di rischio individuale del paziente. I risultati di singoli studi suggeriscono che il desametasone perineurale possa offrire vantaggi rilevanti in specifici contesti ortopedici, mentre la via e.v. può risultare non inferiore in altri ambiti.</w:t>
      </w:r>
    </w:p>
    <w:p>
      <w:r>
        <w:t>Sono necessari ulteriori RCT ben disegnati, con popolazioni omogenee, dosi standardizzate di desametasone e misure di esito armonizzate, per consentire sintesi quantitative più robuste e orientare le raccomandazioni cliniche basate sull'evidenza.</w:t>
      </w:r>
    </w:p>
    <w:p>
      <w:pPr>
        <w:pStyle w:val="Heading2"/>
      </w:pPr>
      <w:r>
        <w:t>Riferimenti</w:t>
      </w:r>
    </w:p>
    <w:p>
      <w:r>
        <w:t>1. Reysner T, Kowalski G, Mularski A. Perineural dexamethasone effectively prolongs anaesthesic block duration in total hip arthroplasty, reduces opioid consumption, and does not compromise motor function, nerve integrity, or glycaemic control. *Int Orthop*. 2025. DOI: 10.1007/s00264-025-06578-1</w:t>
      </w:r>
    </w:p>
    <w:p>
      <w:r>
        <w:t>2. Li Q, Nie H, Wang Z. The Effects of Perineural Dexamethasone on Rebound Pain After Nerve Block in Patients With Unicompartmental Knee Arthroplasty: A Randomized Controlled Trial. *Clin J Pain*. 2024. DOI: 10.1097/ajp.0000000000001220</w:t>
      </w:r>
    </w:p>
    <w:p>
      <w:r>
        <w:t>3. Reysner T, Kowalski G, Mularski A. Optimizing Postoperative Analgesia in Total Knee Arthroplasty: A Randomized Controlled Trial on the Efficacy of Perineural Dexamethasone With iPACK and Adductor Canal Block. *Clin J Pain*. 2026. DOI: 10.1097/ajp.0000000000001344</w:t>
      </w:r>
    </w:p>
    <w:p>
      <w:r>
        <w:t>4. YaDeau JT, Paroli L, Fields KG. Addition of Dexamethasone and Buprenorphine to Bupivacaine Sciatic Nerve Block: A Randomized Controlled Trial. *Reg Anesth Pain Med*. 2015. DOI: 10.1097/aap.0000000000000254</w:t>
      </w:r>
    </w:p>
    <w:p>
      <w:r>
        <w:t>5. Fang J, Shi Y, Du F. The effect of perineural dexamethasone on rebound pain after ropivacaine single-injection nerve block: a randomized controlled trial. *BMC Anesthesiol*. 2021. DOI: 10.1186/s12871-021-01267-z</w:t>
      </w:r>
    </w:p>
    <w:p>
      <w:r>
        <w:t>6. Wu KW, Deng SY, Zhang XF. Comparison of Postoperative Analgesic Effects of Intravenous versus Perineural Dexamethasone Injection Combined with Ropivacaine in Thoracoscopy-Guided Thoracic Paravertebral Block for Thoracoscopic Radical Lung Cancer Resection: A Prospective Randomized Controlled Trial. *Drug Des Devel Ther*. 2025. DOI: 10.2147/dddt.s532934</w:t>
      </w:r>
    </w:p>
    <w:p>
      <w:pPr>
        <w:pStyle w:val="Heading2"/>
      </w:pPr>
      <w:r>
        <w:t>Figura — Forest plot (meta-analisi)</w:t>
      </w:r>
    </w:p>
    <w:p>
      <w:r>
        <w:drawing>
          <wp:inline xmlns:a="http://schemas.openxmlformats.org/drawingml/2006/main" xmlns:pic="http://schemas.openxmlformats.org/drawingml/2006/picture">
            <wp:extent cx="5486400" cy="28698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869809"/>
                    </a:xfrm>
                    <a:prstGeom prst="rect"/>
                  </pic:spPr>
                </pic:pic>
              </a:graphicData>
            </a:graphic>
          </wp:inline>
        </w:drawing>
      </w:r>
    </w:p>
    <w:p>
      <w:pPr>
        <w:pStyle w:val="Heading2"/>
      </w:pPr>
      <w:r>
        <w:t>Nota tecnica</w:t>
      </w:r>
    </w:p>
    <w:p>
      <w:r>
        <w:t>Differenza media aggregata 1.1000530593619442 (95% CI -5.035547939144788–7.235654057868677), I²=99.51082436261612%, modello: random-effects (DerSimonian-Laird). I valori statistici provengono da un motore di calcolo dedicato; il testo è una bozza generata da AI da rivedere a cura degli autori.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