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8B83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222B115C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6945B822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32B5D5A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4D257B1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47AC39F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44AF6595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7D8CF2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73901D0D" w14:textId="77777777" w:rsidR="00406DA2" w:rsidRPr="00F81F7D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bCs/>
          <w:sz w:val="32"/>
          <w:szCs w:val="32"/>
          <w:lang w:val="pt-BR"/>
        </w:rPr>
      </w:pPr>
      <w:r w:rsidRPr="00F81F7D">
        <w:rPr>
          <w:rFonts w:ascii="Arial" w:hAnsi="Arial"/>
          <w:bCs/>
          <w:sz w:val="32"/>
          <w:lang w:val="pt-BR"/>
        </w:rPr>
        <w:t>Hierarquia de Serviços</w:t>
      </w:r>
    </w:p>
    <w:p w14:paraId="7AB76EA9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6A1D3BCF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7E8C5C1F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69B70EFD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2EC6F852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223137A9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55310803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550D4F14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7A9F92FF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6D72D95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17FC8B2B" w14:textId="77777777" w:rsidR="00406DA2" w:rsidRPr="0008450B" w:rsidRDefault="00406DA2" w:rsidP="00406DA2">
      <w:pPr>
        <w:pStyle w:val="Ttulo"/>
        <w:spacing w:before="120"/>
        <w:jc w:val="right"/>
        <w:rPr>
          <w:rFonts w:ascii="Arial" w:hAnsi="Arial" w:cs="Arial"/>
          <w:sz w:val="32"/>
          <w:szCs w:val="32"/>
          <w:lang w:val="pt-BR"/>
        </w:rPr>
      </w:pPr>
    </w:p>
    <w:p w14:paraId="4E73A286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452EC778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2EA729CD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5DFB63D4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1031AB5D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65CF86E6" w14:textId="77777777" w:rsidTr="003B6ABA">
        <w:tc>
          <w:tcPr>
            <w:tcW w:w="1727" w:type="dxa"/>
            <w:shd w:val="clear" w:color="auto" w:fill="D9D9D9"/>
            <w:vAlign w:val="center"/>
          </w:tcPr>
          <w:p w14:paraId="5C87BF1D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EBB9B71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5E472B12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6B4C366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127242CC" w14:textId="77777777" w:rsidTr="003B6ABA">
        <w:tc>
          <w:tcPr>
            <w:tcW w:w="1727" w:type="dxa"/>
            <w:vAlign w:val="center"/>
          </w:tcPr>
          <w:p w14:paraId="65770709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2255CA2D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5039D506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Criação do documento (conforme especificação funcional v2.0)</w:t>
            </w:r>
          </w:p>
        </w:tc>
        <w:tc>
          <w:tcPr>
            <w:tcW w:w="2901" w:type="dxa"/>
            <w:vAlign w:val="center"/>
          </w:tcPr>
          <w:p w14:paraId="55AE1541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</w:tbl>
    <w:p w14:paraId="447939F7" w14:textId="77777777" w:rsidR="00406DA2" w:rsidRPr="0008450B" w:rsidRDefault="00406DA2" w:rsidP="00406DA2">
      <w:pPr>
        <w:rPr>
          <w:rFonts w:ascii="Arial" w:hAnsi="Arial" w:cs="Arial"/>
        </w:rPr>
      </w:pPr>
    </w:p>
    <w:p w14:paraId="79B198DC" w14:textId="77777777" w:rsidR="00406DA2" w:rsidRPr="0008450B" w:rsidRDefault="00406DA2" w:rsidP="00406DA2">
      <w:pPr>
        <w:rPr>
          <w:rFonts w:ascii="Arial" w:hAnsi="Arial" w:cs="Arial"/>
        </w:rPr>
      </w:pPr>
    </w:p>
    <w:p w14:paraId="2D4231D9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5F7F2A78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2C8D393A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0D934AC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7C672B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32BB43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EAD84BC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1CA099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EDE07D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6DEDEB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F1269F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077387D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8BEE9A7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7F168820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1E713960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78B2D430" w14:textId="77777777" w:rsidR="00406DA2" w:rsidRPr="0008450B" w:rsidRDefault="00406DA2" w:rsidP="00F35EC0">
      <w:pPr>
        <w:rPr>
          <w:rFonts w:ascii="Arial" w:hAnsi="Arial" w:cs="Arial"/>
        </w:rPr>
      </w:pPr>
    </w:p>
    <w:p w14:paraId="7F833E1A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p w14:paraId="38E47C5C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2" w:name="_Abreviações_e_Definições"/>
      <w:bookmarkStart w:id="13" w:name="_Toc102579993"/>
      <w:bookmarkStart w:id="14" w:name="_Toc270584321"/>
      <w:bookmarkStart w:id="15" w:name="_Toc329851636"/>
      <w:bookmarkStart w:id="16" w:name="_Toc148950905"/>
      <w:bookmarkEnd w:id="12"/>
      <w:r w:rsidRPr="0008450B">
        <w:rPr>
          <w:rFonts w:ascii="Arial" w:hAnsi="Arial" w:cs="Arial"/>
          <w:sz w:val="24"/>
          <w:szCs w:val="24"/>
        </w:rPr>
        <w:t>Dados Gerais</w:t>
      </w:r>
      <w:bookmarkEnd w:id="13"/>
      <w:bookmarkEnd w:id="14"/>
      <w:bookmarkEnd w:id="15"/>
      <w:bookmarkEnd w:id="16"/>
    </w:p>
    <w:p w14:paraId="3083AE96" w14:textId="77777777" w:rsidR="00390C54" w:rsidRDefault="00000000" w:rsidP="00F81F7D">
      <w:pPr>
        <w:jc w:val="both"/>
      </w:pPr>
      <w:r>
        <w:rPr>
          <w:rFonts w:ascii="Arial" w:hAnsi="Arial"/>
          <w:sz w:val="22"/>
        </w:rPr>
        <w:t>O Sistema de Monitoramento de Indisponibilidade acompanha a saúde das aplicações do TCE-MG via endpoints de healthcheck, registra os períodos de indisponibilidade e gera relatórios autenticados. Esta especificação trata da Feature de Hierarquia de Serviços, que registra as relações de dependência entre sistemas (pais e filhos) e as exibe no relatório do Administrador, mantendo o monitoramento e a detecção de indisponibilidade independentes por serviço.</w:t>
      </w:r>
    </w:p>
    <w:p w14:paraId="46CD902D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5720E676" w14:textId="77777777" w:rsidR="00390C54" w:rsidRDefault="00000000" w:rsidP="00F81F7D">
      <w:pPr>
        <w:jc w:val="both"/>
      </w:pPr>
      <w:r>
        <w:rPr>
          <w:rFonts w:ascii="Arial" w:hAnsi="Arial"/>
          <w:sz w:val="22"/>
        </w:rPr>
        <w:t>Registra a hierarquia entre serviços monitorados (com suporte a múltiplos pais e filhos) e a exibe no relatório do Administrador para indicar a relação entre os sistemas, sem que a hierarquia interfira na detecção nem no fechamento dos períodos de indisponibilidade, que permanecem independentes por serviço.</w:t>
      </w:r>
    </w:p>
    <w:bookmarkStart w:id="17" w:name="_Toc102579997"/>
    <w:bookmarkStart w:id="18" w:name="_Toc270584324"/>
    <w:bookmarkStart w:id="19" w:name="_Toc329851638"/>
    <w:bookmarkStart w:id="20" w:name="_Toc148950907"/>
    <w:p w14:paraId="24362E16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4D92C713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12EC0FE1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0529D467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Como Administrador de Sistemas, eu quero que a hierarquia seja registrada e exibida nos relatórios, mantendo o monitoramento independente por serviço,</w:t>
      </w:r>
    </w:p>
    <w:p w14:paraId="30C62698" w14:textId="77777777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para enriquecer os relatórios com contexto sobre a causa raiz das falhas e as relações entre sistemas.</w:t>
      </w:r>
    </w:p>
    <w:p w14:paraId="3CC37162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30E1801D" w14:textId="77777777" w:rsidR="00791931" w:rsidRPr="00F81F7D" w:rsidRDefault="00791931" w:rsidP="00791931">
      <w:pPr>
        <w:pStyle w:val="Pr-formataoHTML"/>
        <w:ind w:left="709"/>
        <w:rPr>
          <w:rFonts w:ascii="Arial" w:eastAsia="Cambria Math" w:hAnsi="Arial" w:cs="Arial"/>
          <w:b/>
          <w:sz w:val="24"/>
          <w:szCs w:val="24"/>
        </w:rPr>
      </w:pPr>
      <w:r w:rsidRPr="00F81F7D">
        <w:rPr>
          <w:rFonts w:ascii="Arial" w:eastAsia="Cambria Math" w:hAnsi="Arial" w:cs="Arial"/>
          <w:b/>
          <w:sz w:val="24"/>
          <w:szCs w:val="24"/>
        </w:rPr>
        <w:t>Critérios de aceite:</w:t>
      </w:r>
    </w:p>
    <w:p w14:paraId="55FCA543" w14:textId="77777777" w:rsidR="00390C54" w:rsidRDefault="00000000" w:rsidP="00F81F7D">
      <w:pPr>
        <w:pStyle w:val="PargrafodaLista"/>
        <w:jc w:val="both"/>
      </w:pPr>
      <w:r>
        <w:rPr>
          <w:rFonts w:ascii="Arial" w:hAnsi="Arial"/>
          <w:sz w:val="22"/>
        </w:rPr>
        <w:t>•  Cada serviço segue o fluxo de monitoramento de forma independente; a hierarquia não interfere na detecção de indisponibilidade.</w:t>
      </w:r>
    </w:p>
    <w:p w14:paraId="585CD52D" w14:textId="77777777" w:rsidR="00390C54" w:rsidRDefault="00000000" w:rsidP="00F81F7D">
      <w:pPr>
        <w:pStyle w:val="PargrafodaLista"/>
        <w:jc w:val="both"/>
      </w:pPr>
      <w:r>
        <w:rPr>
          <w:rFonts w:ascii="Arial" w:hAnsi="Arial"/>
          <w:sz w:val="22"/>
        </w:rPr>
        <w:t>•  Um serviço pode ter múltiplos pais e múltiplos filhos.</w:t>
      </w:r>
    </w:p>
    <w:p w14:paraId="7C6B1761" w14:textId="77777777" w:rsidR="00390C54" w:rsidRDefault="00000000" w:rsidP="00F81F7D">
      <w:pPr>
        <w:pStyle w:val="PargrafodaLista"/>
        <w:jc w:val="both"/>
      </w:pPr>
      <w:r>
        <w:rPr>
          <w:rFonts w:ascii="Arial" w:hAnsi="Arial"/>
          <w:sz w:val="22"/>
        </w:rPr>
        <w:t>•  O relatório do Usuário exibe apenas o sistema acessado, sem informações hierárquicas.</w:t>
      </w:r>
    </w:p>
    <w:p w14:paraId="336CE3FE" w14:textId="77777777" w:rsidR="00390C54" w:rsidRDefault="00000000" w:rsidP="00F81F7D">
      <w:pPr>
        <w:pStyle w:val="PargrafodaLista"/>
        <w:jc w:val="both"/>
      </w:pPr>
      <w:r>
        <w:rPr>
          <w:rFonts w:ascii="Arial" w:hAnsi="Arial"/>
          <w:sz w:val="22"/>
        </w:rPr>
        <w:t>•  O relatório do Administrador exibe todos os sistemas com indisponibilidade no dia com a relação hierárquica indicada, mesmo que pai e filho tenham ficado indisponíveis em horários distintos.</w:t>
      </w:r>
    </w:p>
    <w:p w14:paraId="73735592" w14:textId="77777777" w:rsidR="00390C54" w:rsidRDefault="00000000" w:rsidP="00F81F7D">
      <w:pPr>
        <w:pStyle w:val="PargrafodaLista"/>
        <w:jc w:val="both"/>
      </w:pPr>
      <w:r>
        <w:rPr>
          <w:rFonts w:ascii="Arial" w:hAnsi="Arial"/>
          <w:sz w:val="22"/>
        </w:rPr>
        <w:t>•  Quando um serviço é recuperado, seu período é fechado independentemente do status dos demais da hierarquia.</w:t>
      </w:r>
    </w:p>
    <w:p w14:paraId="2AA6BB20" w14:textId="77777777" w:rsidR="00390C54" w:rsidRDefault="00390C54"/>
    <w:p w14:paraId="5965827B" w14:textId="77777777" w:rsidR="00390C54" w:rsidRPr="00F81F7D" w:rsidRDefault="00000000" w:rsidP="00F81F7D">
      <w:pPr>
        <w:ind w:left="708"/>
        <w:rPr>
          <w:sz w:val="28"/>
          <w:szCs w:val="28"/>
        </w:rPr>
      </w:pPr>
      <w:r w:rsidRPr="00F81F7D">
        <w:rPr>
          <w:rFonts w:ascii="Arial" w:hAnsi="Arial"/>
          <w:b/>
          <w:szCs w:val="28"/>
        </w:rPr>
        <w:lastRenderedPageBreak/>
        <w:t>Cenários:</w:t>
      </w:r>
    </w:p>
    <w:p w14:paraId="264B89F1" w14:textId="77777777" w:rsidR="00390C54" w:rsidRDefault="00390C54" w:rsidP="00F81F7D">
      <w:pPr>
        <w:ind w:left="708"/>
      </w:pPr>
    </w:p>
    <w:p w14:paraId="3AF7B38D" w14:textId="77777777" w:rsidR="00390C54" w:rsidRDefault="00000000" w:rsidP="00F81F7D">
      <w:pPr>
        <w:ind w:left="708"/>
        <w:jc w:val="both"/>
      </w:pPr>
      <w:r>
        <w:rPr>
          <w:rFonts w:ascii="Arial" w:hAnsi="Arial"/>
          <w:b/>
          <w:sz w:val="22"/>
        </w:rPr>
        <w:t>Cenário 1: Pai e filho registram períodos independentes no banco</w:t>
      </w:r>
    </w:p>
    <w:p w14:paraId="4BAFE943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Dado que E-TCE e Consulta Processual têm status Ativo</w:t>
      </w:r>
    </w:p>
    <w:p w14:paraId="36947C4B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Consulta Processual é filho de E-TCE</w:t>
      </w:r>
    </w:p>
    <w:p w14:paraId="797111A0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ambos possuem registro de primeira falha no buffer</w:t>
      </w:r>
    </w:p>
    <w:p w14:paraId="01BE12CD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Quando ambos os endpoints retornam status 503 novamente</w:t>
      </w:r>
    </w:p>
    <w:p w14:paraId="73E3F6B2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Então o período de E-TCE é persistido no banco com seu próprio horário de início</w:t>
      </w:r>
    </w:p>
    <w:p w14:paraId="0B7BFBA9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o período de Consulta Processual é persistido no banco com seu próprio horário de início</w:t>
      </w:r>
    </w:p>
    <w:p w14:paraId="2E7249A7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cada serviço possui seu próprio registro de indisponibilidade</w:t>
      </w:r>
    </w:p>
    <w:p w14:paraId="71805B8A" w14:textId="77777777" w:rsidR="00390C54" w:rsidRDefault="00390C54" w:rsidP="00F81F7D">
      <w:pPr>
        <w:ind w:left="708"/>
      </w:pPr>
    </w:p>
    <w:p w14:paraId="6444AF19" w14:textId="77777777" w:rsidR="00390C54" w:rsidRDefault="00000000" w:rsidP="00F81F7D">
      <w:pPr>
        <w:ind w:left="708"/>
        <w:jc w:val="both"/>
      </w:pPr>
      <w:r>
        <w:rPr>
          <w:rFonts w:ascii="Arial" w:hAnsi="Arial"/>
          <w:b/>
          <w:sz w:val="22"/>
        </w:rPr>
        <w:t>Cenário 2: Recuperação independente — E-TCE recupera e Consulta Processual permanece aberto</w:t>
      </w:r>
    </w:p>
    <w:p w14:paraId="39FE3690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Dado que E-TCE e Consulta Processual têm períodos de indisponibilidade abertos no banco</w:t>
      </w:r>
    </w:p>
    <w:p w14:paraId="687FFC0A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Quando o endpoint de E-TCE retorna status 200</w:t>
      </w:r>
    </w:p>
    <w:p w14:paraId="10F501A6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Então o período de indisponibilidade de E-TCE é fechado no banco</w:t>
      </w:r>
    </w:p>
    <w:p w14:paraId="224CF401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o período de Consulta Processual permanece aberto</w:t>
      </w:r>
    </w:p>
    <w:p w14:paraId="7D3994C3" w14:textId="77777777" w:rsidR="00390C54" w:rsidRDefault="00390C54" w:rsidP="00F81F7D">
      <w:pPr>
        <w:ind w:left="708"/>
        <w:jc w:val="both"/>
      </w:pPr>
    </w:p>
    <w:p w14:paraId="250D0B35" w14:textId="77777777" w:rsidR="00390C54" w:rsidRDefault="00000000" w:rsidP="00F81F7D">
      <w:pPr>
        <w:ind w:left="708"/>
        <w:jc w:val="both"/>
      </w:pPr>
      <w:r>
        <w:rPr>
          <w:rFonts w:ascii="Arial" w:hAnsi="Arial"/>
          <w:b/>
          <w:sz w:val="22"/>
        </w:rPr>
        <w:t>Cenário 3: Recuperação independente — Consulta Processual recupera e E-TCE permanece aberto</w:t>
      </w:r>
    </w:p>
    <w:p w14:paraId="0073A83B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Dado que E-TCE e Consulta Processual têm períodos de indisponibilidade abertos no banco</w:t>
      </w:r>
    </w:p>
    <w:p w14:paraId="700986D8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Quando o endpoint de Consulta Processual retorna status 200</w:t>
      </w:r>
    </w:p>
    <w:p w14:paraId="3886FB24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Então o período de indisponibilidade de Consulta Processual é fechado no banco</w:t>
      </w:r>
    </w:p>
    <w:p w14:paraId="2D5D5E09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o período de E-TCE permanece aberto</w:t>
      </w:r>
    </w:p>
    <w:p w14:paraId="71ED3D75" w14:textId="77777777" w:rsidR="00390C54" w:rsidRDefault="00390C54" w:rsidP="00F81F7D">
      <w:pPr>
        <w:ind w:left="708"/>
        <w:jc w:val="both"/>
      </w:pPr>
    </w:p>
    <w:p w14:paraId="355BA891" w14:textId="77777777" w:rsidR="00390C54" w:rsidRDefault="00000000" w:rsidP="00F81F7D">
      <w:pPr>
        <w:ind w:left="708"/>
        <w:jc w:val="both"/>
      </w:pPr>
      <w:r>
        <w:rPr>
          <w:rFonts w:ascii="Arial" w:hAnsi="Arial"/>
          <w:b/>
          <w:sz w:val="22"/>
        </w:rPr>
        <w:t>Cenário 4: Relatório do Usuário exibe apenas o sistema acessado</w:t>
      </w:r>
    </w:p>
    <w:p w14:paraId="185E8E48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Dado que E-TCE e Consulta Processual tiveram indisponibilidade no mesmo dia</w:t>
      </w:r>
    </w:p>
    <w:p w14:paraId="7E851E32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o usuário acessa apenas o sistema Consulta Processual</w:t>
      </w:r>
    </w:p>
    <w:p w14:paraId="53E44D4A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Quando o usuário consulta o relatório do dia</w:t>
      </w:r>
    </w:p>
    <w:p w14:paraId="7875E3B9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Então o relatório exibe apenas os períodos de indisponibilidade de Consulta Processual</w:t>
      </w:r>
    </w:p>
    <w:p w14:paraId="5DAE3A39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nenhuma informação sobre E-TCE ou sobre a relação hierárquica é exibida</w:t>
      </w:r>
    </w:p>
    <w:p w14:paraId="7FFC8D05" w14:textId="77777777" w:rsidR="00390C54" w:rsidRDefault="00390C54" w:rsidP="00F81F7D">
      <w:pPr>
        <w:ind w:left="708"/>
        <w:jc w:val="both"/>
      </w:pPr>
    </w:p>
    <w:p w14:paraId="16BB03BC" w14:textId="77777777" w:rsidR="00390C54" w:rsidRDefault="00000000" w:rsidP="00F81F7D">
      <w:pPr>
        <w:ind w:left="708"/>
        <w:jc w:val="both"/>
      </w:pPr>
      <w:r>
        <w:rPr>
          <w:rFonts w:ascii="Arial" w:hAnsi="Arial"/>
          <w:b/>
          <w:sz w:val="22"/>
        </w:rPr>
        <w:t>Cenário 5: Relatório do Administrador exibe hierarquia independente dos horários</w:t>
      </w:r>
    </w:p>
    <w:p w14:paraId="1F8B1426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Dado que E-TCE ficou indisponível das 08h às 09h</w:t>
      </w:r>
    </w:p>
    <w:p w14:paraId="3590A8E8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Consulta Processual ficou indisponível das 14h às 15h no mesmo dia</w:t>
      </w:r>
    </w:p>
    <w:p w14:paraId="09ACA17A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 Consulta Processual é filho de E-TCE</w:t>
      </w:r>
    </w:p>
    <w:p w14:paraId="3EBB8CF4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Quando o Administrador consulta o relatório do dia</w:t>
      </w:r>
    </w:p>
    <w:p w14:paraId="3C1B38FE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t>Então o relatório exibe o período de E-TCE com seus horários</w:t>
      </w:r>
    </w:p>
    <w:p w14:paraId="7B6645A1" w14:textId="77777777" w:rsidR="00390C54" w:rsidRDefault="00000000" w:rsidP="00F81F7D">
      <w:pPr>
        <w:ind w:left="708"/>
        <w:jc w:val="both"/>
      </w:pPr>
      <w:r>
        <w:rPr>
          <w:rFonts w:ascii="Arial" w:hAnsi="Arial"/>
          <w:sz w:val="22"/>
        </w:rPr>
        <w:lastRenderedPageBreak/>
        <w:t>E o relatório exibe o período de Consulta Processual com seus horários</w:t>
      </w:r>
    </w:p>
    <w:p w14:paraId="3106CB62" w14:textId="77777777" w:rsidR="00F81F7D" w:rsidRDefault="00000000" w:rsidP="00F81F7D">
      <w:pPr>
        <w:ind w:left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 a relação hierárquica entre E-TCE (pai) e Consulta Processual (filho) é indicada no relatório</w:t>
      </w:r>
      <w:bookmarkEnd w:id="17"/>
      <w:bookmarkEnd w:id="18"/>
      <w:bookmarkEnd w:id="19"/>
      <w:bookmarkEnd w:id="20"/>
    </w:p>
    <w:p w14:paraId="0083B5EB" w14:textId="77777777" w:rsidR="00F81F7D" w:rsidRDefault="00F81F7D" w:rsidP="00F81F7D">
      <w:pPr>
        <w:ind w:left="708"/>
        <w:jc w:val="both"/>
        <w:rPr>
          <w:rFonts w:ascii="Arial" w:hAnsi="Arial"/>
          <w:sz w:val="22"/>
        </w:rPr>
      </w:pPr>
    </w:p>
    <w:p w14:paraId="5B7E4F94" w14:textId="6CB540CC" w:rsidR="00406DA2" w:rsidRPr="00774203" w:rsidRDefault="005A1B9C" w:rsidP="00F81F7D">
      <w:pPr>
        <w:ind w:left="708"/>
        <w:jc w:val="both"/>
        <w:rPr>
          <w:sz w:val="22"/>
        </w:rPr>
      </w:pPr>
      <w:r>
        <w:rPr>
          <w:rFonts w:ascii="Arial" w:hAnsi="Arial" w:cs="Arial"/>
        </w:rPr>
        <w:t>Aprovadores</w:t>
      </w:r>
    </w:p>
    <w:p w14:paraId="17BFC792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63082BB4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3357E79C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4E5D0EA8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68B70C1A" w14:textId="77777777" w:rsidTr="005A1B9C">
        <w:trPr>
          <w:trHeight w:val="348"/>
          <w:jc w:val="center"/>
        </w:trPr>
        <w:tc>
          <w:tcPr>
            <w:tcW w:w="2540" w:type="pct"/>
          </w:tcPr>
          <w:p w14:paraId="4B818F14" w14:textId="77777777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 da DTI</w:t>
            </w:r>
          </w:p>
        </w:tc>
        <w:tc>
          <w:tcPr>
            <w:tcW w:w="2460" w:type="pct"/>
            <w:vAlign w:val="center"/>
          </w:tcPr>
          <w:p w14:paraId="445AC151" w14:textId="77777777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Diretoria de Tecnologia da Informação</w:t>
            </w:r>
          </w:p>
        </w:tc>
      </w:tr>
      <w:tr w:rsidR="00390C54" w14:paraId="54FAA89B" w14:textId="77777777">
        <w:trPr>
          <w:jc w:val="center"/>
        </w:trPr>
        <w:tc>
          <w:tcPr>
            <w:tcW w:w="3310" w:type="dxa"/>
          </w:tcPr>
          <w:p w14:paraId="51582CD1" w14:textId="77777777" w:rsidR="00390C54" w:rsidRDefault="00000000">
            <w:r>
              <w:rPr>
                <w:rFonts w:ascii="Arial" w:hAnsi="Arial"/>
                <w:sz w:val="20"/>
              </w:rPr>
              <w:t>Equipe de Arquitetura</w:t>
            </w:r>
          </w:p>
        </w:tc>
        <w:tc>
          <w:tcPr>
            <w:tcW w:w="3205" w:type="dxa"/>
          </w:tcPr>
          <w:p w14:paraId="3EBC32EE" w14:textId="77777777" w:rsidR="00390C54" w:rsidRDefault="00000000">
            <w:r>
              <w:rPr>
                <w:rFonts w:ascii="Arial" w:hAnsi="Arial"/>
                <w:sz w:val="20"/>
              </w:rPr>
              <w:t>Arquitetura de Software</w:t>
            </w:r>
          </w:p>
        </w:tc>
      </w:tr>
      <w:tr w:rsidR="00390C54" w14:paraId="220DFBB2" w14:textId="77777777">
        <w:trPr>
          <w:jc w:val="center"/>
        </w:trPr>
        <w:tc>
          <w:tcPr>
            <w:tcW w:w="3310" w:type="dxa"/>
          </w:tcPr>
          <w:p w14:paraId="2F231B7A" w14:textId="77777777" w:rsidR="00390C54" w:rsidRDefault="00000000">
            <w:r>
              <w:rPr>
                <w:rFonts w:ascii="Arial" w:hAnsi="Arial"/>
                <w:sz w:val="20"/>
              </w:rPr>
              <w:t>Time do Portal de Serviços</w:t>
            </w:r>
          </w:p>
        </w:tc>
        <w:tc>
          <w:tcPr>
            <w:tcW w:w="3205" w:type="dxa"/>
          </w:tcPr>
          <w:p w14:paraId="70E1D0A3" w14:textId="77777777" w:rsidR="00390C54" w:rsidRDefault="00000000">
            <w:r>
              <w:rPr>
                <w:rFonts w:ascii="Arial" w:hAnsi="Arial"/>
                <w:sz w:val="20"/>
              </w:rPr>
              <w:t>Portal de Serviços</w:t>
            </w:r>
          </w:p>
        </w:tc>
      </w:tr>
      <w:tr w:rsidR="00390C54" w14:paraId="05C49208" w14:textId="77777777">
        <w:trPr>
          <w:jc w:val="center"/>
        </w:trPr>
        <w:tc>
          <w:tcPr>
            <w:tcW w:w="3310" w:type="dxa"/>
          </w:tcPr>
          <w:p w14:paraId="0D7DA685" w14:textId="77777777" w:rsidR="00390C54" w:rsidRDefault="00000000">
            <w:r>
              <w:rPr>
                <w:rFonts w:ascii="Arial" w:hAnsi="Arial"/>
                <w:sz w:val="20"/>
              </w:rPr>
              <w:t>Administradores de Sistemas</w:t>
            </w:r>
          </w:p>
        </w:tc>
        <w:tc>
          <w:tcPr>
            <w:tcW w:w="3205" w:type="dxa"/>
          </w:tcPr>
          <w:p w14:paraId="286A0167" w14:textId="77777777" w:rsidR="00390C54" w:rsidRDefault="00000000">
            <w:r>
              <w:rPr>
                <w:rFonts w:ascii="Arial" w:hAnsi="Arial"/>
                <w:sz w:val="20"/>
              </w:rPr>
              <w:t>Área de Negócio</w:t>
            </w:r>
          </w:p>
        </w:tc>
      </w:tr>
    </w:tbl>
    <w:p w14:paraId="6122E691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12F42238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7"/>
      <w:footerReference w:type="first" r:id="rId18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4BE7" w14:textId="77777777" w:rsidR="000B708E" w:rsidRDefault="000B708E">
      <w:pPr>
        <w:pStyle w:val="Ttulo"/>
      </w:pPr>
      <w:r>
        <w:separator/>
      </w:r>
    </w:p>
  </w:endnote>
  <w:endnote w:type="continuationSeparator" w:id="0">
    <w:p w14:paraId="44B2BB92" w14:textId="77777777" w:rsidR="000B708E" w:rsidRDefault="000B708E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57059EB3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5C60152C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6D192960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79553365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4A19CB5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0DA615CB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628D8C16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1960D230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326C3CED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7D6A207E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6B6D7E27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6B4413D0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BD61" w14:textId="77777777" w:rsidR="000B708E" w:rsidRDefault="000B708E">
      <w:pPr>
        <w:pStyle w:val="Ttulo"/>
      </w:pPr>
      <w:r>
        <w:separator/>
      </w:r>
    </w:p>
  </w:footnote>
  <w:footnote w:type="continuationSeparator" w:id="0">
    <w:p w14:paraId="3BAE0BD5" w14:textId="77777777" w:rsidR="000B708E" w:rsidRDefault="000B708E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3AE7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2BC660EC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6BAD53FA" w14:textId="77777777" w:rsidTr="005C1931">
      <w:trPr>
        <w:trHeight w:val="709"/>
      </w:trPr>
      <w:tc>
        <w:tcPr>
          <w:tcW w:w="1701" w:type="dxa"/>
        </w:tcPr>
        <w:p w14:paraId="74810FA1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164181C9" w14:textId="05A82BD7" w:rsidR="00136FC5" w:rsidRPr="0008450B" w:rsidRDefault="00F81F7D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 w:rsidRPr="00F81F7D">
            <w:rPr>
              <w:rFonts w:ascii="Arial" w:hAnsi="Arial" w:cs="Arial"/>
              <w:sz w:val="24"/>
              <w:szCs w:val="24"/>
              <w:lang w:val="pt-BR"/>
            </w:rPr>
            <w:t>Monitoramento de Indisponibilidade</w:t>
          </w:r>
        </w:p>
        <w:p w14:paraId="6A1CBDE1" w14:textId="18A02828" w:rsidR="00AD21BD" w:rsidRPr="00F81F7D" w:rsidRDefault="00F81F7D" w:rsidP="00136FC5">
          <w:pPr>
            <w:rPr>
              <w:rFonts w:ascii="Arial" w:hAnsi="Arial" w:cs="Arial"/>
              <w:sz w:val="20"/>
              <w:szCs w:val="20"/>
              <w:lang w:eastAsia="en-US"/>
            </w:rPr>
          </w:pPr>
          <w:r>
            <w:rPr>
              <w:rFonts w:ascii="Arial" w:hAnsi="Arial" w:cs="Arial"/>
              <w:sz w:val="20"/>
              <w:szCs w:val="20"/>
              <w:lang w:eastAsia="en-US"/>
            </w:rPr>
            <w:t xml:space="preserve">Funcionalidade 3 - </w:t>
          </w:r>
          <w:r w:rsidRPr="00F81F7D">
            <w:rPr>
              <w:rFonts w:ascii="Arial" w:hAnsi="Arial" w:cs="Arial"/>
              <w:sz w:val="20"/>
              <w:szCs w:val="20"/>
              <w:lang w:eastAsia="en-US"/>
            </w:rPr>
            <w:t>Hierarquia de Serviços</w:t>
          </w:r>
        </w:p>
      </w:tc>
    </w:tr>
  </w:tbl>
  <w:p w14:paraId="737B8598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64EA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65DE85F2" w14:textId="77777777" w:rsidTr="00CA7425">
      <w:trPr>
        <w:trHeight w:val="709"/>
      </w:trPr>
      <w:tc>
        <w:tcPr>
          <w:tcW w:w="1701" w:type="dxa"/>
        </w:tcPr>
        <w:p w14:paraId="4EC341D8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33C1D755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2E6EA5E1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24C5939F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F819D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0F40D4F6" w14:textId="77777777" w:rsidTr="00CA7425">
      <w:trPr>
        <w:trHeight w:val="709"/>
      </w:trPr>
      <w:tc>
        <w:tcPr>
          <w:tcW w:w="1701" w:type="dxa"/>
        </w:tcPr>
        <w:p w14:paraId="784C5121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22D14AD0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522FCFB9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4536924C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652A78C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cs="Arial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B708E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C54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4E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1F7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400D3CEF"/>
  <w15:chartTrackingRefBased/>
  <w15:docId w15:val="{9B59355F-3B94-4F37-ADFB-252F6B44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7D"/>
    <w:pPr>
      <w:spacing w:line="28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  <w:spacing w:before="120"/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spacing w:before="120"/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F81F7D"/>
    <w:pPr>
      <w:spacing w:before="120" w:after="120"/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703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4493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5</cp:revision>
  <cp:lastPrinted>2005-12-26T18:24:00Z</cp:lastPrinted>
  <dcterms:created xsi:type="dcterms:W3CDTF">2026-07-15T12:58:00Z</dcterms:created>
  <dcterms:modified xsi:type="dcterms:W3CDTF">2026-07-17T11:49:00Z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