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20B0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24DFD73B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3A50BD5D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467D64D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3924D98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2EB7909E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333D36A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0642776E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3EEC7C58" w14:textId="77777777" w:rsidR="00406DA2" w:rsidRPr="006227D8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bCs/>
          <w:sz w:val="32"/>
          <w:szCs w:val="32"/>
          <w:lang w:val="pt-BR"/>
        </w:rPr>
      </w:pPr>
      <w:r w:rsidRPr="006227D8">
        <w:rPr>
          <w:rFonts w:ascii="Arial" w:hAnsi="Arial"/>
          <w:bCs/>
          <w:sz w:val="32"/>
          <w:lang w:val="pt-BR"/>
        </w:rPr>
        <w:t>Relatório por Limiar</w:t>
      </w:r>
    </w:p>
    <w:p w14:paraId="116B1D74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5555AAAE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5281B03F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54535553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1BFD3556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5BF3D219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33CFE937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4A32BE8B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17C4B2FD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70135B3D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31A0305E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sz w:val="32"/>
          <w:szCs w:val="32"/>
          <w:lang w:val="pt-BR"/>
        </w:rPr>
      </w:pPr>
    </w:p>
    <w:p w14:paraId="696C4DB4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7AEDDE22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126FC633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65135224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31431116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1DC91B4D" w14:textId="77777777" w:rsidTr="003B6ABA">
        <w:tc>
          <w:tcPr>
            <w:tcW w:w="1727" w:type="dxa"/>
            <w:shd w:val="clear" w:color="auto" w:fill="D9D9D9"/>
            <w:vAlign w:val="center"/>
          </w:tcPr>
          <w:p w14:paraId="74F342F2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335C2278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70A32670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3E06968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52E9C9A0" w14:textId="77777777" w:rsidTr="003B6ABA">
        <w:tc>
          <w:tcPr>
            <w:tcW w:w="1727" w:type="dxa"/>
            <w:vAlign w:val="center"/>
          </w:tcPr>
          <w:p w14:paraId="4729082D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0C2B90D3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7E5FA665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hAnsi="Arial"/>
              </w:rPr>
              <w:t>Criação</w:t>
            </w:r>
            <w:proofErr w:type="spellEnd"/>
            <w:r>
              <w:rPr>
                <w:rFonts w:ascii="Arial" w:hAnsi="Arial"/>
              </w:rPr>
              <w:t xml:space="preserve"> do documento (conforme </w:t>
            </w:r>
            <w:proofErr w:type="spellStart"/>
            <w:r>
              <w:rPr>
                <w:rFonts w:ascii="Arial" w:hAnsi="Arial"/>
              </w:rPr>
              <w:t>especificação</w:t>
            </w:r>
            <w:proofErr w:type="spellEnd"/>
            <w:r>
              <w:rPr>
                <w:rFonts w:ascii="Arial" w:hAnsi="Arial"/>
              </w:rPr>
              <w:t xml:space="preserve"> funcional v2.0)</w:t>
            </w:r>
          </w:p>
        </w:tc>
        <w:tc>
          <w:tcPr>
            <w:tcW w:w="2901" w:type="dxa"/>
            <w:vAlign w:val="center"/>
          </w:tcPr>
          <w:p w14:paraId="367F764A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  <w:tr w:rsidR="00B2630D" w14:paraId="017AD688" w14:textId="77777777">
        <w:tc>
          <w:tcPr>
            <w:tcW w:w="1727" w:type="dxa"/>
          </w:tcPr>
          <w:p w14:paraId="6DE8E9AC" w14:textId="77777777" w:rsidR="00B2630D" w:rsidRDefault="00000000" w:rsidP="006227D8">
            <w:pPr>
              <w:jc w:val="center"/>
            </w:pPr>
            <w:r>
              <w:rPr>
                <w:rFonts w:ascii="Arial" w:hAnsi="Arial"/>
                <w:sz w:val="20"/>
              </w:rPr>
              <w:t>16/07/2026</w:t>
            </w:r>
          </w:p>
        </w:tc>
        <w:tc>
          <w:tcPr>
            <w:tcW w:w="2552" w:type="dxa"/>
          </w:tcPr>
          <w:p w14:paraId="1B595091" w14:textId="77777777" w:rsidR="00B2630D" w:rsidRDefault="00000000" w:rsidP="006227D8">
            <w:pPr>
              <w:jc w:val="center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w="2180" w:type="dxa"/>
          </w:tcPr>
          <w:p w14:paraId="4C747F80" w14:textId="77777777" w:rsidR="00B2630D" w:rsidRDefault="00000000" w:rsidP="006227D8">
            <w:pPr>
              <w:jc w:val="center"/>
            </w:pPr>
            <w:r>
              <w:rPr>
                <w:rFonts w:ascii="Arial" w:hAnsi="Arial"/>
                <w:sz w:val="20"/>
              </w:rPr>
              <w:t xml:space="preserve">Remoção da assinatura digital do relatório; QR </w:t>
            </w:r>
            <w:proofErr w:type="spellStart"/>
            <w:r>
              <w:rPr>
                <w:rFonts w:ascii="Arial" w:hAnsi="Arial"/>
                <w:sz w:val="20"/>
              </w:rPr>
              <w:t>Code</w:t>
            </w:r>
            <w:proofErr w:type="spellEnd"/>
            <w:r>
              <w:rPr>
                <w:rFonts w:ascii="Arial" w:hAnsi="Arial"/>
                <w:sz w:val="20"/>
              </w:rPr>
              <w:t xml:space="preserve"> e códigos mantidos</w:t>
            </w:r>
          </w:p>
        </w:tc>
        <w:tc>
          <w:tcPr>
            <w:tcW w:w="2901" w:type="dxa"/>
          </w:tcPr>
          <w:p w14:paraId="2C4C2D83" w14:textId="77777777" w:rsidR="00B2630D" w:rsidRDefault="00000000" w:rsidP="006227D8">
            <w:pPr>
              <w:jc w:val="center"/>
            </w:pPr>
            <w:r>
              <w:rPr>
                <w:rFonts w:ascii="Arial" w:hAnsi="Arial"/>
                <w:sz w:val="20"/>
              </w:rPr>
              <w:t>Bruno Siqueira</w:t>
            </w:r>
          </w:p>
        </w:tc>
      </w:tr>
    </w:tbl>
    <w:p w14:paraId="6084CE03" w14:textId="77777777" w:rsidR="00406DA2" w:rsidRPr="0008450B" w:rsidRDefault="00406DA2" w:rsidP="00406DA2">
      <w:pPr>
        <w:rPr>
          <w:rFonts w:ascii="Arial" w:hAnsi="Arial" w:cs="Arial"/>
        </w:rPr>
      </w:pPr>
    </w:p>
    <w:p w14:paraId="61E0222E" w14:textId="77777777" w:rsidR="00406DA2" w:rsidRPr="0008450B" w:rsidRDefault="00406DA2" w:rsidP="00406DA2">
      <w:pPr>
        <w:rPr>
          <w:rFonts w:ascii="Arial" w:hAnsi="Arial" w:cs="Arial"/>
        </w:rPr>
      </w:pPr>
    </w:p>
    <w:p w14:paraId="6E8C22E3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1123590D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141C017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1721A5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1692DBB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B0C4CA2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1E4935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78F4EB5B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6F60D3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865433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2FD00E6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BC4C66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26FC407A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364240BE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26BA8A3F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5D5668D4" w14:textId="77777777" w:rsidR="00406DA2" w:rsidRPr="0008450B" w:rsidRDefault="00406DA2" w:rsidP="00F35EC0">
      <w:pPr>
        <w:rPr>
          <w:rFonts w:ascii="Arial" w:hAnsi="Arial" w:cs="Arial"/>
        </w:rPr>
      </w:pPr>
    </w:p>
    <w:p w14:paraId="570073F7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ascii="Arial" w:hAnsi="Arial"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p w14:paraId="579C60B0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2" w:name="_Abreviações_e_Definições"/>
      <w:bookmarkStart w:id="13" w:name="_Toc102579993"/>
      <w:bookmarkStart w:id="14" w:name="_Toc270584321"/>
      <w:bookmarkStart w:id="15" w:name="_Toc329851636"/>
      <w:bookmarkStart w:id="16" w:name="_Toc148950905"/>
      <w:bookmarkEnd w:id="12"/>
      <w:r w:rsidRPr="0008450B">
        <w:rPr>
          <w:rFonts w:ascii="Arial" w:hAnsi="Arial" w:cs="Arial"/>
          <w:sz w:val="24"/>
          <w:szCs w:val="24"/>
        </w:rPr>
        <w:t>Dados Gerais</w:t>
      </w:r>
      <w:bookmarkEnd w:id="13"/>
      <w:bookmarkEnd w:id="14"/>
      <w:bookmarkEnd w:id="15"/>
      <w:bookmarkEnd w:id="16"/>
    </w:p>
    <w:p w14:paraId="2536295D" w14:textId="77777777" w:rsidR="00B2630D" w:rsidRDefault="00000000" w:rsidP="006227D8">
      <w:pPr>
        <w:jc w:val="both"/>
      </w:pPr>
      <w:r>
        <w:rPr>
          <w:rFonts w:ascii="Arial" w:hAnsi="Arial"/>
          <w:sz w:val="22"/>
        </w:rPr>
        <w:t xml:space="preserve">O Sistema de Monitoramento de Indisponibilidade acompanha a saúde das aplicações do TCE-MG via </w:t>
      </w:r>
      <w:proofErr w:type="spellStart"/>
      <w:r>
        <w:rPr>
          <w:rFonts w:ascii="Arial" w:hAnsi="Arial"/>
          <w:sz w:val="22"/>
        </w:rPr>
        <w:t>endpoints</w:t>
      </w:r>
      <w:proofErr w:type="spellEnd"/>
      <w:r>
        <w:rPr>
          <w:rFonts w:ascii="Arial" w:hAnsi="Arial"/>
          <w:sz w:val="22"/>
        </w:rPr>
        <w:t xml:space="preserve"> de </w:t>
      </w:r>
      <w:proofErr w:type="spellStart"/>
      <w:r>
        <w:rPr>
          <w:rFonts w:ascii="Arial" w:hAnsi="Arial"/>
          <w:sz w:val="22"/>
        </w:rPr>
        <w:t>healthcheck</w:t>
      </w:r>
      <w:proofErr w:type="spellEnd"/>
      <w:r>
        <w:rPr>
          <w:rFonts w:ascii="Arial" w:hAnsi="Arial"/>
          <w:sz w:val="22"/>
        </w:rPr>
        <w:t>, registra os períodos de indisponibilidade em banco Oracle 19c e gera relatórios autenticados. Esta especificação trata da Feature de Relatório por Limiar, que gera automaticamente ao final de cada dia um relatório autenticável com os sistemas cuja indisponibilidade acumulada atingiu o limiar configurado, disponível para consulta no Portal de Serviços.</w:t>
      </w:r>
    </w:p>
    <w:p w14:paraId="29DD9E11" w14:textId="77777777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p w14:paraId="3605BE61" w14:textId="77777777" w:rsidR="00B2630D" w:rsidRDefault="00000000" w:rsidP="006227D8">
      <w:pPr>
        <w:jc w:val="both"/>
      </w:pPr>
      <w:r>
        <w:rPr>
          <w:rFonts w:ascii="Arial" w:hAnsi="Arial"/>
          <w:sz w:val="22"/>
        </w:rPr>
        <w:t xml:space="preserve">Ao final de cada dia, gera automaticamente um relatório contendo os sistemas cuja soma total de indisponibilidade atingiu o limiar configurável (padrão de 120 minutos), detalhando os períodos por sistema e o total do dia, com QR </w:t>
      </w:r>
      <w:proofErr w:type="spellStart"/>
      <w:r>
        <w:rPr>
          <w:rFonts w:ascii="Arial" w:hAnsi="Arial"/>
          <w:sz w:val="22"/>
        </w:rPr>
        <w:t>Code</w:t>
      </w:r>
      <w:proofErr w:type="spellEnd"/>
      <w:r>
        <w:rPr>
          <w:rFonts w:ascii="Arial" w:hAnsi="Arial"/>
          <w:sz w:val="22"/>
        </w:rPr>
        <w:t xml:space="preserve"> de autenticação (código verificador e código do usuário), permitindo que cidadãos comprovem indisponibilidades em petições processuais.</w:t>
      </w:r>
    </w:p>
    <w:bookmarkStart w:id="17" w:name="_Toc102579997"/>
    <w:bookmarkStart w:id="18" w:name="_Toc270584324"/>
    <w:bookmarkStart w:id="19" w:name="_Toc329851638"/>
    <w:bookmarkStart w:id="20" w:name="_Toc148950907"/>
    <w:p w14:paraId="15655EAA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6CED67E9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6AB852C6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fldChar w:fldCharType="begin"/>
      </w:r>
      <w:r>
        <w:rPr>
          <w:rFonts w:ascii="Arial" w:hAnsi="Arial" w:cs="Arial"/>
          <w:sz w:val="24"/>
        </w:rPr>
        <w:instrText xml:space="preserve"> Nome da </w:instrText>
      </w:r>
      <w:r w:rsidR="003C0909">
        <w:rPr>
          <w:rFonts w:ascii="Arial" w:hAnsi="Arial" w:cs="Arial"/>
          <w:sz w:val="24"/>
        </w:rPr>
        <w:instrText>Historia</w:instrText>
      </w:r>
      <w:r>
        <w:rPr>
          <w:rFonts w:ascii="Arial" w:hAnsi="Arial" w:cs="Arial"/>
          <w:sz w:val="24"/>
        </w:rPr>
        <w:instrText xml:space="preserve"> </w:instrText>
      </w:r>
      <w:r>
        <w:rPr>
          <w:rFonts w:ascii="Arial" w:hAnsi="Arial" w:cs="Arial"/>
          <w:sz w:val="24"/>
        </w:rPr>
        <w:fldChar w:fldCharType="separate"/>
      </w:r>
      <w:r>
        <w:rPr>
          <w:rFonts w:ascii="Arial" w:hAnsi="Arial" w:cs="Arial"/>
          <w:sz w:val="24"/>
        </w:rPr>
        <w:fldChar w:fldCharType="end"/>
      </w:r>
    </w:p>
    <w:p w14:paraId="3C4C5CF5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Como Sistema de Monitoramento, eu quero gerar automaticamente ao final de cada dia um relatório autenticável com os sistemas que atingiram o limiar de indisponibilidade,</w:t>
      </w:r>
    </w:p>
    <w:p w14:paraId="5896F37A" w14:textId="77777777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2"/>
        </w:rPr>
        <w:t>para permitir que cidadãos comprovem indisponibilidade de sistemas em petições processuais.</w:t>
      </w:r>
    </w:p>
    <w:p w14:paraId="32076C4F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61D2D622" w14:textId="77777777" w:rsidR="00791931" w:rsidRPr="006227D8" w:rsidRDefault="00791931" w:rsidP="00791931">
      <w:pPr>
        <w:pStyle w:val="Pr-formataoHTML"/>
        <w:ind w:left="709"/>
        <w:rPr>
          <w:rFonts w:ascii="Arial" w:eastAsia="Cambria Math" w:hAnsi="Arial" w:cs="Arial"/>
          <w:b/>
          <w:sz w:val="24"/>
          <w:szCs w:val="24"/>
        </w:rPr>
      </w:pPr>
      <w:r w:rsidRPr="006227D8">
        <w:rPr>
          <w:rFonts w:ascii="Arial" w:eastAsia="Cambria Math" w:hAnsi="Arial" w:cs="Arial"/>
          <w:b/>
          <w:sz w:val="24"/>
          <w:szCs w:val="24"/>
        </w:rPr>
        <w:t>Critérios de aceite:</w:t>
      </w:r>
    </w:p>
    <w:p w14:paraId="706DC278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O relatório é gerado automaticamente à meia-noite (configurável), ao final do dia.</w:t>
      </w:r>
    </w:p>
    <w:p w14:paraId="3DCA79EB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O limiar de indisponibilidade é configurável (padrão: 120 minutos); um sistema entra no relatório se a soma total do dia for maior ou igual ao limiar, independente dos períodos serem contínuos ou não.</w:t>
      </w:r>
    </w:p>
    <w:p w14:paraId="1BB3FDD2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O relatório exibe apenas sistemas que atingiram o limiar; sistemas abaixo não aparecem.</w:t>
      </w:r>
    </w:p>
    <w:p w14:paraId="631D25C6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Para cada sistema, o relatório exibe todos os períodos do dia (hora de início, hora de término, tempo do período) e o total acumulado.</w:t>
      </w:r>
    </w:p>
    <w:p w14:paraId="703EF784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O relatório não é enviado por e-mail; fica disponível apenas na página de consulta do Portal de Serviços.</w:t>
      </w:r>
    </w:p>
    <w:p w14:paraId="3AAA73F2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lastRenderedPageBreak/>
        <w:t xml:space="preserve">•  O relatório contém: cabeçalho com logo e nome do tribunal, data de referência, tabela de períodos por sistema, total do dia e QR </w:t>
      </w:r>
      <w:proofErr w:type="spellStart"/>
      <w:r>
        <w:rPr>
          <w:rFonts w:ascii="Arial" w:hAnsi="Arial"/>
          <w:sz w:val="22"/>
        </w:rPr>
        <w:t>Code</w:t>
      </w:r>
      <w:proofErr w:type="spellEnd"/>
      <w:r>
        <w:rPr>
          <w:rFonts w:ascii="Arial" w:hAnsi="Arial"/>
          <w:sz w:val="22"/>
        </w:rPr>
        <w:t xml:space="preserve"> com URL de autenticação, código verificador e código do usuário.</w:t>
      </w:r>
    </w:p>
    <w:p w14:paraId="382EE175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O código verificador é único por relatório diário; o código do usuário é único por usuário e incluído conforme quem acessa o relatório.</w:t>
      </w:r>
    </w:p>
    <w:p w14:paraId="798C1779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Se nenhum sistema atingir o limiar, nenhum relatório é gerado para o dia.</w:t>
      </w:r>
    </w:p>
    <w:p w14:paraId="0E6D7239" w14:textId="77777777" w:rsidR="00B2630D" w:rsidRDefault="00000000" w:rsidP="006227D8">
      <w:pPr>
        <w:pStyle w:val="PargrafodaLista"/>
        <w:jc w:val="both"/>
      </w:pPr>
      <w:r>
        <w:rPr>
          <w:rFonts w:ascii="Arial" w:hAnsi="Arial"/>
          <w:sz w:val="22"/>
        </w:rPr>
        <w:t>•  Falha na geração gera exceção enviada ao sistema de log do tribunal.</w:t>
      </w:r>
    </w:p>
    <w:p w14:paraId="17C3B287" w14:textId="77777777" w:rsidR="00B2630D" w:rsidRDefault="00B2630D"/>
    <w:p w14:paraId="49A492E6" w14:textId="77777777" w:rsidR="00B2630D" w:rsidRPr="006227D8" w:rsidRDefault="00000000" w:rsidP="006227D8">
      <w:pPr>
        <w:ind w:left="709"/>
        <w:rPr>
          <w:sz w:val="28"/>
          <w:szCs w:val="28"/>
        </w:rPr>
      </w:pPr>
      <w:r w:rsidRPr="006227D8">
        <w:rPr>
          <w:rFonts w:ascii="Arial" w:hAnsi="Arial"/>
          <w:b/>
          <w:szCs w:val="28"/>
        </w:rPr>
        <w:t>Cenários:</w:t>
      </w:r>
    </w:p>
    <w:p w14:paraId="42447880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1: Sistema atinge o limiar (E-TCE, 120 min) e é incluído</w:t>
      </w:r>
    </w:p>
    <w:p w14:paraId="57CF9EFD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o limiar configurado é 120 minutos</w:t>
      </w:r>
    </w:p>
    <w:p w14:paraId="53133D9B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sistema E-TCE acumulou 120 minutos de indisponibilidade no dia</w:t>
      </w:r>
    </w:p>
    <w:p w14:paraId="242F3A27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o relatório por limiar é gerado à meia-noite</w:t>
      </w:r>
    </w:p>
    <w:p w14:paraId="42D6B1A6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Então o sistema E-TCE é incluído no relatório</w:t>
      </w:r>
    </w:p>
    <w:p w14:paraId="416A1215" w14:textId="77777777" w:rsidR="00B2630D" w:rsidRDefault="00B2630D" w:rsidP="006227D8">
      <w:pPr>
        <w:ind w:left="709"/>
      </w:pPr>
    </w:p>
    <w:p w14:paraId="1D44953C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2: Sistema acima do limiar (Consulta Processual, 135 min) é incluído</w:t>
      </w:r>
    </w:p>
    <w:p w14:paraId="6B1DDDF6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o limiar configurado é 120 minutos</w:t>
      </w:r>
    </w:p>
    <w:p w14:paraId="73D904ED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sistema Consulta Processual acumulou 135 minutos de indisponibilidade no dia</w:t>
      </w:r>
    </w:p>
    <w:p w14:paraId="679EDAED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o relatório por limiar é gerado à meia-noite</w:t>
      </w:r>
    </w:p>
    <w:p w14:paraId="5441A66A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Então o sistema Consulta Processual é incluído no relatório</w:t>
      </w:r>
    </w:p>
    <w:p w14:paraId="759A150F" w14:textId="77777777" w:rsidR="00B2630D" w:rsidRDefault="00B2630D" w:rsidP="006227D8">
      <w:pPr>
        <w:ind w:left="709"/>
      </w:pPr>
    </w:p>
    <w:p w14:paraId="3326D783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3: Sistema abaixo do limiar (Portal de Serviços, 90 min) não é incluído</w:t>
      </w:r>
    </w:p>
    <w:p w14:paraId="74268831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o limiar configurado é 120 minutos</w:t>
      </w:r>
    </w:p>
    <w:p w14:paraId="0543A435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sistema Portal de Serviços acumulou 90 minutos de indisponibilidade no dia</w:t>
      </w:r>
    </w:p>
    <w:p w14:paraId="0EFF4805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o relatório por limiar é gerado à meia-noite</w:t>
      </w:r>
    </w:p>
    <w:p w14:paraId="727A9538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Então o sistema Portal de Serviços não é incluído no relatório</w:t>
      </w:r>
    </w:p>
    <w:p w14:paraId="63BB8864" w14:textId="77777777" w:rsidR="00B2630D" w:rsidRDefault="00B2630D" w:rsidP="006227D8">
      <w:pPr>
        <w:ind w:left="709"/>
      </w:pPr>
    </w:p>
    <w:p w14:paraId="2C6C58B1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4: Sistema com múltiplos períodos não contínuos atinge o limiar pela soma</w:t>
      </w:r>
    </w:p>
    <w:p w14:paraId="53935B83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o limiar configurado é 120 minutos</w:t>
      </w:r>
    </w:p>
    <w:p w14:paraId="572A88EE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Consulta Processual ficou indisponível das 14h às 15h (60 min) e das 17h às 18h15 (75 min)</w:t>
      </w:r>
    </w:p>
    <w:p w14:paraId="15D3F239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o relatório por limiar é gerado</w:t>
      </w:r>
    </w:p>
    <w:p w14:paraId="7F002D6D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lastRenderedPageBreak/>
        <w:t>Então Consulta Processual é incluído com os dois períodos exibidos individualmente</w:t>
      </w:r>
    </w:p>
    <w:p w14:paraId="44DB9BB1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total acumulado do dia exibe 135 minutos</w:t>
      </w:r>
    </w:p>
    <w:p w14:paraId="37F0C120" w14:textId="77777777" w:rsidR="00B2630D" w:rsidRDefault="00B2630D" w:rsidP="006227D8">
      <w:pPr>
        <w:ind w:left="709"/>
      </w:pPr>
    </w:p>
    <w:p w14:paraId="2A2DAAB7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5: Nenhum sistema atinge o limiar no dia</w:t>
      </w:r>
    </w:p>
    <w:p w14:paraId="34FAE9E6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nenhum sistema acumulou indisponibilidade igual ou superior a 120 minutos no dia</w:t>
      </w:r>
    </w:p>
    <w:p w14:paraId="18EBF7F8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o processamento do fechamento do dia é executado</w:t>
      </w:r>
    </w:p>
    <w:p w14:paraId="2F94AFA6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Então nenhum relatório por limiar é gerado</w:t>
      </w:r>
    </w:p>
    <w:p w14:paraId="762342E0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a consulta da data exibe mensagem informando que não houve indisponibilidades</w:t>
      </w:r>
    </w:p>
    <w:p w14:paraId="41C987D5" w14:textId="77777777" w:rsidR="00B2630D" w:rsidRDefault="00B2630D" w:rsidP="006227D8">
      <w:pPr>
        <w:ind w:left="709"/>
      </w:pPr>
    </w:p>
    <w:p w14:paraId="6B6CC4FA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6: Código do usuário incluído conforme quem acessa o relatório</w:t>
      </w:r>
    </w:p>
    <w:p w14:paraId="46CD996A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o relatório por limiar do dia está disponível para consulta</w:t>
      </w:r>
    </w:p>
    <w:p w14:paraId="5883553E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usuário Maria possui o código de usuário "000000123"</w:t>
      </w:r>
    </w:p>
    <w:p w14:paraId="416A0E47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Maria acessa o relatório</w:t>
      </w:r>
    </w:p>
    <w:p w14:paraId="1CB2A312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 xml:space="preserve">Então o QR </w:t>
      </w:r>
      <w:proofErr w:type="spellStart"/>
      <w:r>
        <w:rPr>
          <w:rFonts w:ascii="Arial" w:hAnsi="Arial"/>
          <w:sz w:val="22"/>
        </w:rPr>
        <w:t>Code</w:t>
      </w:r>
      <w:proofErr w:type="spellEnd"/>
      <w:r>
        <w:rPr>
          <w:rFonts w:ascii="Arial" w:hAnsi="Arial"/>
          <w:sz w:val="22"/>
        </w:rPr>
        <w:t xml:space="preserve"> do relatório exibido contém o código verificador do relatório</w:t>
      </w:r>
    </w:p>
    <w:p w14:paraId="0C26A4E3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código "000000123" de Maria</w:t>
      </w:r>
    </w:p>
    <w:p w14:paraId="4190468C" w14:textId="77777777" w:rsidR="00B2630D" w:rsidRDefault="00B2630D" w:rsidP="006227D8">
      <w:pPr>
        <w:ind w:left="709"/>
      </w:pPr>
    </w:p>
    <w:p w14:paraId="56EF3788" w14:textId="77777777" w:rsidR="00B2630D" w:rsidRDefault="00000000" w:rsidP="006227D8">
      <w:pPr>
        <w:ind w:left="709"/>
      </w:pPr>
      <w:r>
        <w:rPr>
          <w:rFonts w:ascii="Arial" w:hAnsi="Arial"/>
          <w:b/>
          <w:sz w:val="22"/>
        </w:rPr>
        <w:t>Cenário 7: Falha na geração do relatório por limiar</w:t>
      </w:r>
    </w:p>
    <w:p w14:paraId="323251F8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Dado que um ou mais sistemas atingiram o limiar no dia</w:t>
      </w:r>
    </w:p>
    <w:p w14:paraId="4F7F70B5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Quando ocorre uma falha durante a geração do relatório</w:t>
      </w:r>
    </w:p>
    <w:p w14:paraId="6713B2E2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Então uma exceção é gerada e enviada ao sistema de log do tribunal</w:t>
      </w:r>
    </w:p>
    <w:p w14:paraId="79C26DDA" w14:textId="77777777" w:rsidR="00B2630D" w:rsidRDefault="00000000" w:rsidP="006227D8">
      <w:pPr>
        <w:ind w:left="709"/>
      </w:pPr>
      <w:r>
        <w:rPr>
          <w:rFonts w:ascii="Arial" w:hAnsi="Arial"/>
          <w:sz w:val="22"/>
        </w:rPr>
        <w:t>E o relatório não é disponibilizado para consulta</w:t>
      </w:r>
    </w:p>
    <w:p w14:paraId="32FD37A9" w14:textId="77777777" w:rsidR="00406DA2" w:rsidRPr="00774203" w:rsidRDefault="0000261E" w:rsidP="00774203">
      <w:pPr>
        <w:ind w:left="709"/>
        <w:rPr>
          <w:sz w:val="22"/>
        </w:rPr>
      </w:pPr>
      <w:bookmarkStart w:id="21" w:name="_Toc329851654"/>
      <w:bookmarkEnd w:id="17"/>
      <w:bookmarkEnd w:id="18"/>
      <w:bookmarkEnd w:id="19"/>
      <w:bookmarkEnd w:id="20"/>
      <w:r w:rsidRPr="0008450B">
        <w:rPr>
          <w:rFonts w:ascii="Arial" w:hAnsi="Arial" w:cs="Arial"/>
        </w:rPr>
        <w:br w:type="page"/>
      </w:r>
      <w:bookmarkEnd w:id="21"/>
      <w:r w:rsidR="005A1B9C">
        <w:rPr>
          <w:rFonts w:ascii="Arial" w:hAnsi="Arial" w:cs="Arial"/>
        </w:rPr>
        <w:lastRenderedPageBreak/>
        <w:t>Aprovadores</w:t>
      </w:r>
    </w:p>
    <w:p w14:paraId="374D24CA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13DB7B73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25891D6B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183A6904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5C7E2F00" w14:textId="77777777" w:rsidTr="005A1B9C">
        <w:trPr>
          <w:trHeight w:val="348"/>
          <w:jc w:val="center"/>
        </w:trPr>
        <w:tc>
          <w:tcPr>
            <w:tcW w:w="2540" w:type="pct"/>
          </w:tcPr>
          <w:p w14:paraId="661B98B5" w14:textId="3FB81A7E" w:rsidR="005A1B9C" w:rsidRPr="005A1B9C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  <w:tc>
          <w:tcPr>
            <w:tcW w:w="2460" w:type="pct"/>
            <w:vAlign w:val="center"/>
          </w:tcPr>
          <w:p w14:paraId="4BBE3EDB" w14:textId="4199AE14" w:rsidR="005A1B9C" w:rsidRPr="0008450B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</w:tr>
      <w:tr w:rsidR="00B2630D" w14:paraId="50C3DC2E" w14:textId="77777777">
        <w:trPr>
          <w:jc w:val="center"/>
        </w:trPr>
        <w:tc>
          <w:tcPr>
            <w:tcW w:w="3310" w:type="dxa"/>
          </w:tcPr>
          <w:p w14:paraId="6FDDEBDD" w14:textId="06733775" w:rsidR="00B2630D" w:rsidRDefault="00B2630D"/>
        </w:tc>
        <w:tc>
          <w:tcPr>
            <w:tcW w:w="3205" w:type="dxa"/>
          </w:tcPr>
          <w:p w14:paraId="2FAE6776" w14:textId="14DD3CD3" w:rsidR="00B2630D" w:rsidRDefault="00B2630D"/>
        </w:tc>
      </w:tr>
      <w:tr w:rsidR="00B2630D" w14:paraId="4EFB0677" w14:textId="77777777">
        <w:trPr>
          <w:jc w:val="center"/>
        </w:trPr>
        <w:tc>
          <w:tcPr>
            <w:tcW w:w="3310" w:type="dxa"/>
          </w:tcPr>
          <w:p w14:paraId="04E2A10A" w14:textId="1C0C60D5" w:rsidR="00B2630D" w:rsidRDefault="00B2630D"/>
        </w:tc>
        <w:tc>
          <w:tcPr>
            <w:tcW w:w="3205" w:type="dxa"/>
          </w:tcPr>
          <w:p w14:paraId="0548A553" w14:textId="0D233DF4" w:rsidR="00B2630D" w:rsidRDefault="00B2630D"/>
        </w:tc>
      </w:tr>
      <w:tr w:rsidR="00B2630D" w14:paraId="268E346C" w14:textId="77777777">
        <w:trPr>
          <w:jc w:val="center"/>
        </w:trPr>
        <w:tc>
          <w:tcPr>
            <w:tcW w:w="3310" w:type="dxa"/>
          </w:tcPr>
          <w:p w14:paraId="0F33EE9B" w14:textId="626B895C" w:rsidR="00B2630D" w:rsidRDefault="00B2630D"/>
        </w:tc>
        <w:tc>
          <w:tcPr>
            <w:tcW w:w="3205" w:type="dxa"/>
          </w:tcPr>
          <w:p w14:paraId="56556EF3" w14:textId="21EB7EC8" w:rsidR="00B2630D" w:rsidRDefault="00B2630D"/>
        </w:tc>
      </w:tr>
    </w:tbl>
    <w:p w14:paraId="387DEC66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51E2E4BD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7"/>
      <w:footerReference w:type="first" r:id="rId18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7AF4C" w14:textId="77777777" w:rsidR="00762D37" w:rsidRDefault="00762D37">
      <w:pPr>
        <w:pStyle w:val="Ttulo"/>
      </w:pPr>
      <w:r>
        <w:separator/>
      </w:r>
    </w:p>
  </w:endnote>
  <w:endnote w:type="continuationSeparator" w:id="0">
    <w:p w14:paraId="337ADAA9" w14:textId="77777777" w:rsidR="00762D37" w:rsidRDefault="00762D37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2F30EC2C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2B7F60C3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50AFDC33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059F75AF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172764B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02E10E0F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1F5C1186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4CEB1E74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72FC2978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4ECFDEEC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17A7E72B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2A18FE4C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D747" w14:textId="77777777" w:rsidR="00762D37" w:rsidRDefault="00762D37">
      <w:pPr>
        <w:pStyle w:val="Ttulo"/>
      </w:pPr>
      <w:r>
        <w:separator/>
      </w:r>
    </w:p>
  </w:footnote>
  <w:footnote w:type="continuationSeparator" w:id="0">
    <w:p w14:paraId="4B0120E0" w14:textId="77777777" w:rsidR="00762D37" w:rsidRDefault="00762D37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04C1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1F5E316A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4A75C2C8" w14:textId="77777777" w:rsidTr="005C1931">
      <w:trPr>
        <w:trHeight w:val="709"/>
      </w:trPr>
      <w:tc>
        <w:tcPr>
          <w:tcW w:w="1701" w:type="dxa"/>
        </w:tcPr>
        <w:p w14:paraId="7B9A660D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6D4A09EA" w14:textId="568F7C0E" w:rsidR="00136FC5" w:rsidRPr="006227D8" w:rsidRDefault="006227D8" w:rsidP="00136FC5">
          <w:pPr>
            <w:pStyle w:val="Ttulo"/>
            <w:jc w:val="left"/>
            <w:rPr>
              <w:rFonts w:ascii="Arial" w:hAnsi="Arial" w:cs="Arial"/>
              <w:sz w:val="24"/>
              <w:szCs w:val="14"/>
              <w:lang w:val="pt-BR"/>
            </w:rPr>
          </w:pPr>
          <w:r w:rsidRPr="006227D8">
            <w:rPr>
              <w:rFonts w:ascii="Arial" w:hAnsi="Arial" w:cs="Arial"/>
              <w:sz w:val="24"/>
              <w:szCs w:val="14"/>
              <w:lang w:val="pt-BR"/>
            </w:rPr>
            <w:t>Monitoramento de Indisponibilidade</w:t>
          </w:r>
        </w:p>
        <w:p w14:paraId="4C6B4653" w14:textId="21FDEDCF" w:rsidR="00AD21BD" w:rsidRPr="006227D8" w:rsidRDefault="006227D8" w:rsidP="00136FC5">
          <w:pPr>
            <w:rPr>
              <w:rFonts w:ascii="Arial" w:hAnsi="Arial" w:cs="Arial"/>
              <w:bCs/>
              <w:sz w:val="20"/>
              <w:szCs w:val="20"/>
              <w:lang w:eastAsia="en-US"/>
            </w:rPr>
          </w:pPr>
          <w:r w:rsidRPr="006227D8">
            <w:rPr>
              <w:rFonts w:ascii="Arial" w:hAnsi="Arial" w:cs="Arial"/>
              <w:bCs/>
              <w:sz w:val="20"/>
              <w:szCs w:val="20"/>
              <w:lang w:eastAsia="en-US"/>
            </w:rPr>
            <w:t>Relatório por Limiar</w:t>
          </w:r>
        </w:p>
      </w:tc>
    </w:tr>
  </w:tbl>
  <w:p w14:paraId="22BE4A53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ECE8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794328EB" w14:textId="77777777" w:rsidTr="00CA7425">
      <w:trPr>
        <w:trHeight w:val="709"/>
      </w:trPr>
      <w:tc>
        <w:tcPr>
          <w:tcW w:w="1701" w:type="dxa"/>
        </w:tcPr>
        <w:p w14:paraId="02E439C1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088860CF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72F69871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2085AF8A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D990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14FC8F46" w14:textId="77777777" w:rsidTr="00CA7425">
      <w:trPr>
        <w:trHeight w:val="709"/>
      </w:trPr>
      <w:tc>
        <w:tcPr>
          <w:tcW w:w="1701" w:type="dxa"/>
        </w:tcPr>
        <w:p w14:paraId="6D192FF8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7A5221F2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3BED2DA3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81127BA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B7A0E4E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cs="Arial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27D8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D37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630D"/>
    <w:rsid w:val="00B2743B"/>
    <w:rsid w:val="00B30241"/>
    <w:rsid w:val="00B307A6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2AFE2F60"/>
  <w15:chartTrackingRefBased/>
  <w15:docId w15:val="{78643C6B-0E35-4EE2-A89B-2E716C8A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7D8"/>
    <w:pPr>
      <w:spacing w:before="120" w:after="120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6227D8"/>
    <w:pPr>
      <w:spacing w:line="288" w:lineRule="auto"/>
      <w:ind w:left="709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804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5139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4</cp:revision>
  <cp:lastPrinted>2005-12-26T18:24:00Z</cp:lastPrinted>
  <dcterms:created xsi:type="dcterms:W3CDTF">2026-07-15T12:58:00Z</dcterms:created>
  <dcterms:modified xsi:type="dcterms:W3CDTF">2026-07-17T11:53:00Z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