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5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customXml/item1.xml" ContentType="application/xml"/>
  <Override PartName="/customXml/itemProps5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6.xml" ContentType="application/vnd.openxmlformats-officedocument.customXmlProperties+xml"/>
  <Override PartName="/customXml/_rels/item6.xml.rels" ContentType="application/vnd.openxmlformats-package.relationship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customXml/item6.xml" ContentType="application/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"/>
        <w:jc w:val="end"/>
        <w:rPr>
          <w:rFonts w:ascii="Arial" w:hAnsi="Arial" w:cs="Arial"/>
          <w:sz w:val="32"/>
          <w:szCs w:val="32"/>
          <w:lang w:val="pt-BR"/>
        </w:rPr>
      </w:pPr>
      <w:r>
        <w:rPr>
          <w:rFonts w:cs="Arial" w:ascii="Arial" w:hAnsi="Arial"/>
          <w:sz w:val="32"/>
          <w:szCs w:val="32"/>
          <w:lang w:val="pt-BR"/>
        </w:rPr>
        <w:t>Monitoramento de Indisponibilidade</w:t>
      </w:r>
    </w:p>
    <w:p>
      <w:pPr>
        <w:pStyle w:val="Normal"/>
        <w:rPr>
          <w:rFonts w:ascii="Arial" w:hAnsi="Arial" w:cs="Arial"/>
        </w:rPr>
      </w:pPr>
    </w:p>
    <w:p>
      <w:pPr>
        <w:pStyle w:val="Normal"/>
        <w:rPr>
          <w:rFonts w:ascii="Arial" w:hAnsi="Arial" w:cs="Arial"/>
          <w:sz w:val="20"/>
          <w:szCs w:val="20"/>
        </w:rPr>
      </w:pPr>
    </w:p>
    <w:p>
      <w:pPr>
        <w:pStyle w:val="Normal"/>
        <w:jc w:val="end"/>
      </w:pPr>
      <w:r>
        <w:rPr>
          <w:rFonts w:ascii="Arial" w:hAnsi="Arial" w:cs="Arial"/>
          <w:b/>
          <w:sz w:val="20"/>
          <w:szCs w:val="20"/>
        </w:rPr>
        <w:t xml:space="preserve">Responsável pelo Documento: </w:t>
      </w:r>
      <w:r>
        <w:rPr>
          <w:rFonts w:ascii="Arial" w:hAnsi="Arial" w:cs="Arial"/>
          <w:i/>
          <w:sz w:val="20"/>
          <w:szCs w:val="20"/>
        </w:rPr>
        <w:t>Bruno Alves Siqueira</w:t>
      </w:r>
    </w:p>
    <w:p>
      <w:pPr>
        <w:pStyle w:val="Normal"/>
        <w:jc w:val="end"/>
        <w:rPr/>
      </w:pPr>
      <w:hyperlink r:id="rId2">
        <w:r>
          <w:rPr>
            <w:rStyle w:val="Hyperlink"/>
          </w:rPr>
          <w:t>Bruno.siqueira@tce.mg.gov.br</w:t>
        </w:r>
      </w:hyperlink>
    </w:p>
    <w:p>
      <w:pPr>
        <w:pStyle w:val="Normal"/>
        <w:rPr/>
      </w:pP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134" w:right="1134" w:gutter="0" w:header="0" w:top="1134" w:footer="1043" w:bottom="1134"/>
          <w:pgNumType w:fmt="decimal"/>
          <w:formProt w:val="false"/>
          <w:titlePg/>
          <w:textDirection w:val="lrTb"/>
        </w:sectPr>
      </w:pPr>
    </w:p>
    <w:p>
      <w:pPr>
        <w:pStyle w:val="Normal"/>
        <w:jc w:val="center"/>
      </w:pPr>
      <w:r>
        <w:rPr>
          <w:rFonts w:ascii="Arial" w:hAnsi="Arial" w:cs="Arial"/>
          <w:b/>
          <w:sz w:val="32"/>
          <w:szCs w:val="32"/>
          <w:lang w:val="pt-BR"/>
        </w:rPr>
        <w:t>Histórico de Revisão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2000"/>
        <w:gridCol w:w="3000"/>
        <w:gridCol w:w="1600"/>
      </w:tblGrid>
      <w:tr>
        <w:tc>
          <w:tcPr>
            <w:tcW w:w="1600" w:type="dxa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color w:val="FFFFFF"/>
              </w:rPr>
              <w:t xml:space="preserve">Data</w:t>
            </w:r>
          </w:p>
        </w:tc>
        <w:tc>
          <w:tcPr>
            <w:tcW w:w="2000" w:type="dxa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color w:val="FFFFFF"/>
              </w:rPr>
              <w:t xml:space="preserve">Versão do Documento</w:t>
            </w:r>
          </w:p>
        </w:tc>
        <w:tc>
          <w:tcPr>
            <w:tcW w:w="3000" w:type="dxa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color w:val="FFFFFF"/>
              </w:rPr>
              <w:t xml:space="preserve">Descrição</w:t>
            </w:r>
          </w:p>
        </w:tc>
        <w:tc>
          <w:tcPr>
            <w:tcW w:w="1600" w:type="dxa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color w:val="FFFFFF"/>
              </w:rPr>
              <w:t xml:space="preserve">Autor</w:t>
            </w:r>
          </w:p>
        </w:tc>
      </w:tr>
      <w:tr>
        <w:tc>
          <w:tcPr>
            <w:tcW w:w="1600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13/07/2026</w:t>
            </w:r>
          </w:p>
        </w:tc>
        <w:tc>
          <w:tcPr>
            <w:tcW w:w="2000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1.0</w:t>
            </w:r>
          </w:p>
        </w:tc>
        <w:tc>
          <w:tcPr>
            <w:tcW w:w="3000" w:type="dxa"/>
            <w:shd w:val="clear" w:color="auto" w:fill="auto"/>
          </w:tcPr>
          <w:p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Criação do documento</w:t>
            </w:r>
          </w:p>
        </w:tc>
        <w:tc>
          <w:tcPr>
            <w:tcW w:w="1600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Bruno Alves Siqueira</w:t>
            </w:r>
          </w:p>
        </w:tc>
      </w:tr>
    </w:tbl>
    <w:p>
      <w:pPr>
        <w:pStyle w:val="Normal"/>
      </w:pPr>
    </w:p>
    <w:p>
      <w:pPr>
        <w:pStyle w:val="Normal"/>
      </w:pPr>
      <w:r>
        <w:rPr/>
        <w:br w:type="page"/>
      </w:r>
    </w:p>
    <w:p>
      <w:pPr>
        <w:pStyle w:val="Heading1"/>
      </w:pPr>
      <w:r>
        <w:rPr>
          <w:rFonts w:ascii="Arial" w:hAnsi="Arial" w:cs="Arial"/>
          <w:lang w:val="pt-BR"/>
        </w:rPr>
        <w:t>Introdução</w:t>
      </w:r>
    </w:p>
    <w:p>
      <w:pPr>
        <w:pStyle w:val="Normal"/>
      </w:pPr>
      <w:r>
        <w:rPr>
          <w:rFonts w:ascii="Arial" w:hAnsi="Arial" w:cs="Arial"/>
          <w:sz w:val="20"/>
          <w:szCs w:val="20"/>
          <w:lang w:val="pt-BR"/>
        </w:rPr>
        <w:t>Este documento apresenta a Especificação Funcional do Sistema de Monitoramento de Indisponibilidade do TCE-MG, elaborada no padrão BDD (Behavior-Driven Development) com Feature Injection.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sz w:val="20"/>
          <w:szCs w:val="20"/>
          <w:lang w:val="pt-BR"/>
        </w:rPr>
        <w:t>O BDD complementa as histórias de usuário ao detalhar comportamentos esperados do sistema por meio de exemplos concretos, usando linguagem acessível e estruturada. Isso alinha as necessidades do negócio à implementação técnica, promovendo comunicação eficaz entre equipe e stakeholders.</w:t>
      </w:r>
    </w:p>
    <w:p>
      <w:pPr>
        <w:pStyle w:val="Normal"/>
      </w:pPr>
    </w:p>
    <w:p>
      <w:pPr>
        <w:pStyle w:val="Heading1"/>
      </w:pPr>
      <w:r>
        <w:rPr>
          <w:rFonts w:ascii="Arial" w:hAnsi="Arial" w:cs="Arial"/>
          <w:lang w:val="pt-BR"/>
        </w:rPr>
        <w:t>Dados Gerais</w:t>
      </w:r>
    </w:p>
    <w:p>
      <w:pPr>
        <w:pStyle w:val="Normal"/>
      </w:pPr>
      <w:r>
        <w:rPr>
          <w:rFonts w:ascii="Arial" w:hAnsi="Arial" w:cs="Arial"/>
          <w:b/>
          <w:sz w:val="20"/>
          <w:szCs w:val="20"/>
        </w:rPr>
        <w:t xml:space="preserve">Projeto: </w:t>
      </w:r>
      <w:r>
        <w:rPr>
          <w:rFonts w:ascii="Arial" w:hAnsi="Arial" w:cs="Arial"/>
          <w:sz w:val="20"/>
          <w:szCs w:val="20"/>
        </w:rPr>
        <w:t>Monitoramento de Indisponibilidade</w:t>
      </w:r>
    </w:p>
    <w:p>
      <w:pPr>
        <w:pStyle w:val="Normal"/>
      </w:pPr>
      <w:r>
        <w:rPr>
          <w:rFonts w:ascii="Arial" w:hAnsi="Arial" w:cs="Arial"/>
          <w:b/>
          <w:sz w:val="20"/>
          <w:szCs w:val="20"/>
        </w:rPr>
        <w:t xml:space="preserve">Versão: </w:t>
      </w:r>
      <w:r>
        <w:rPr>
          <w:rFonts w:ascii="Arial" w:hAnsi="Arial" w:cs="Arial"/>
          <w:sz w:val="20"/>
          <w:szCs w:val="20"/>
        </w:rPr>
        <w:t>1.0</w:t>
      </w:r>
    </w:p>
    <w:p>
      <w:pPr>
        <w:pStyle w:val="Normal"/>
      </w:pPr>
      <w:r>
        <w:rPr>
          <w:rFonts w:ascii="Arial" w:hAnsi="Arial" w:cs="Arial"/>
          <w:b/>
          <w:sz w:val="20"/>
          <w:szCs w:val="20"/>
        </w:rPr>
        <w:t xml:space="preserve">Status: </w:t>
      </w:r>
      <w:r>
        <w:rPr>
          <w:rFonts w:ascii="Arial" w:hAnsi="Arial" w:cs="Arial"/>
          <w:sz w:val="20"/>
          <w:szCs w:val="20"/>
        </w:rPr>
        <w:t>Rascunho</w:t>
      </w:r>
    </w:p>
    <w:p>
      <w:pPr>
        <w:pStyle w:val="Normal"/>
      </w:pPr>
      <w:r>
        <w:rPr>
          <w:rFonts w:ascii="Arial" w:hAnsi="Arial" w:cs="Arial"/>
          <w:b/>
          <w:sz w:val="20"/>
          <w:szCs w:val="20"/>
        </w:rPr>
        <w:t xml:space="preserve">Data: </w:t>
      </w:r>
      <w:r>
        <w:rPr>
          <w:rFonts w:ascii="Arial" w:hAnsi="Arial" w:cs="Arial"/>
          <w:sz w:val="20"/>
          <w:szCs w:val="20"/>
        </w:rPr>
        <w:t>13/07/2026</w:t>
      </w:r>
    </w:p>
    <w:p>
      <w:pPr>
        <w:pStyle w:val="Normal"/>
      </w:pPr>
      <w:r>
        <w:rPr>
          <w:rFonts w:ascii="Arial" w:hAnsi="Arial" w:cs="Arial"/>
          <w:b/>
          <w:sz w:val="20"/>
          <w:szCs w:val="20"/>
        </w:rPr>
        <w:t xml:space="preserve">Responsável: </w:t>
      </w:r>
      <w:r>
        <w:rPr>
          <w:rFonts w:ascii="Arial" w:hAnsi="Arial" w:cs="Arial"/>
          <w:sz w:val="20"/>
          <w:szCs w:val="20"/>
        </w:rPr>
        <w:t>Bruno Alves Siqueira</w:t>
      </w:r>
    </w:p>
    <w:p>
      <w:pPr>
        <w:pStyle w:val="Normal"/>
      </w:pPr>
      <w:r>
        <w:rPr>
          <w:rFonts w:ascii="Arial" w:hAnsi="Arial" w:cs="Arial"/>
          <w:b/>
          <w:sz w:val="20"/>
          <w:szCs w:val="20"/>
        </w:rPr>
        <w:t xml:space="preserve">Referência: </w:t>
      </w:r>
      <w:r>
        <w:rPr>
          <w:rFonts w:ascii="Arial" w:hAnsi="Arial" w:cs="Arial"/>
          <w:sz w:val="20"/>
          <w:szCs w:val="20"/>
        </w:rPr>
        <w:t>docs/escopo/escopo-geral/escopo.md</w:t>
      </w:r>
    </w:p>
    <w:p>
      <w:pPr>
        <w:pStyle w:val="Normal"/>
      </w:pPr>
      <w:r>
        <w:rPr>
          <w:rFonts w:ascii="Arial" w:hAnsi="Arial" w:cs="Arial"/>
          <w:b/>
          <w:sz w:val="20"/>
          <w:szCs w:val="20"/>
        </w:rPr>
        <w:t xml:space="preserve">Padrão: </w:t>
      </w:r>
      <w:r>
        <w:rPr>
          <w:rFonts w:ascii="Arial" w:hAnsi="Arial" w:cs="Arial"/>
          <w:sz w:val="20"/>
          <w:szCs w:val="20"/>
        </w:rPr>
        <w:t>BDD v1.1 — Feature Injection + Gherkin</w:t>
      </w:r>
    </w:p>
    <w:p>
      <w:pPr>
        <w:pStyle w:val="Normal"/>
      </w:pPr>
    </w:p>
    <w:p>
      <w:pPr>
        <w:pStyle w:val="Heading1"/>
      </w:pPr>
      <w:r>
        <w:rPr>
          <w:rFonts w:ascii="Arial" w:hAnsi="Arial" w:cs="Arial"/>
          <w:lang w:val="pt-BR"/>
        </w:rPr>
        <w:t>Contexto</w:t>
      </w:r>
    </w:p>
    <w:p>
      <w:pPr>
        <w:pStyle w:val="Normal"/>
      </w:pPr>
      <w:r>
        <w:rPr>
          <w:rFonts w:ascii="Arial" w:hAnsi="Arial" w:cs="Arial"/>
          <w:sz w:val="20"/>
          <w:szCs w:val="20"/>
          <w:lang w:val="pt-BR"/>
        </w:rPr>
        <w:t>O Sistema de Monitoramento de Indisponibilidade monitora a saúde das aplicações do TCE-MG via endpoints de healthcheck, registra os períodos de indisponibilidade em banco Oracle 19c e gera relatórios autenticados. Os relatórios permitem que cidadãos comprovem indisponibilidades em petições processuais e que administradores acompanhem a saúde dos sistemas — atendendo à minuta regulatória do Tribunal com prazo atrelado ao Portal de Serviços.</w:t>
      </w:r>
    </w:p>
    <w:p>
      <w:pPr>
        <w:pStyle w:val="Normal"/>
      </w:pPr>
    </w:p>
    <w:p>
      <w:pPr>
        <w:pStyle w:val="Heading1"/>
      </w:pPr>
      <w:r>
        <w:rPr>
          <w:rFonts w:ascii="Arial" w:hAnsi="Arial" w:cs="Arial"/>
          <w:lang w:val="pt-BR"/>
        </w:rPr>
        <w:t>Funcionalidades</w:t>
      </w:r>
    </w:p>
    <w:p>
      <w:pPr>
        <w:pStyle w:val="Normal"/>
      </w:pPr>
      <w:r>
        <w:rPr>
          <w:rFonts w:ascii="Arial" w:hAnsi="Arial" w:cs="Arial"/>
          <w:sz w:val="20"/>
          <w:szCs w:val="20"/>
          <w:lang w:val="pt-BR"/>
        </w:rPr>
        <w:t>As seguintes features foram especificadas neste documento: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 xml:space="preserve">Feature 1: Gerenciamento de Serviços Monitorados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 xml:space="preserve">Feature 2: Monitoramento de Healthcheck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 xml:space="preserve">Feature 3: Hierarquia de Serviços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 xml:space="preserve">Feature 4: Relatório por Limiar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 xml:space="preserve">Feature 5: Relatório Diário do Administrador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 xml:space="preserve">Feature 6: Consulta de Relatórios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 xml:space="preserve">Feature 7: Autenticação de Relatório</w:t>
      </w:r>
    </w:p>
    <w:p>
      <w:pPr>
        <w:pStyle w:val="Normal"/>
      </w:pPr>
    </w:p>
    <w:p>
      <w:pPr>
        <w:pStyle w:val="Heading1"/>
      </w:pPr>
      <w:r>
        <w:rPr>
          <w:rFonts w:ascii="Arial" w:hAnsi="Arial" w:cs="Arial"/>
          <w:lang w:val="pt-BR"/>
        </w:rPr>
        <w:t>Histórias de Usuário e BDD</w:t>
      </w:r>
    </w:p>
    <w:p>
      <w:pPr>
        <w:pStyle w:val="Heading2"/>
      </w:pPr>
      <w:r>
        <w:rPr>
          <w:rFonts w:ascii="Arial" w:hAnsi="Arial" w:cs="Arial"/>
          <w:lang w:val="pt-BR"/>
        </w:rPr>
        <w:t>Feature 1: Gerenciamento de Serviços Monitorados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Feature: Gerenciamento de Serviços Monitorados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In order to garantir que apenas sistemas válidos e acessíveis sejam monitorados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As Administrador de Sistemas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 want incluir, configurar e remover serviços do monitoramento com controle de ciclo de vida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b/>
          <w:sz w:val="20"/>
          <w:szCs w:val="20"/>
          <w:lang w:val="pt-BR"/>
        </w:rPr>
        <w:t>Regras de Negócio: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RN-1.1 — </w:t>
      </w:r>
      <w:r>
        <w:rPr>
          <w:rFonts w:ascii="Arial" w:hAnsi="Arial" w:cs="Arial"/>
          <w:sz w:val="20"/>
          <w:szCs w:val="20"/>
        </w:rPr>
        <w:t xml:space="preserve">A lista de sistemas disponíveis para inclusão é obtida via endpoint externo do Portal de Serviços; sistemas já incluídos não aparecem nessa lista.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RN-1.2 — </w:t>
      </w:r>
      <w:r>
        <w:rPr>
          <w:rFonts w:ascii="Arial" w:hAnsi="Arial" w:cs="Arial"/>
          <w:sz w:val="20"/>
          <w:szCs w:val="20"/>
        </w:rPr>
        <w:t xml:space="preserve">A URL do healthcheck é obrigatória e deve ter formato válido.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RN-1.3 — </w:t>
      </w:r>
      <w:r>
        <w:rPr>
          <w:rFonts w:ascii="Arial" w:hAnsi="Arial" w:cs="Arial"/>
          <w:sz w:val="20"/>
          <w:szCs w:val="20"/>
        </w:rPr>
        <w:t xml:space="preserve">A URL do healthcheck deve responder com status code entre 200 e 204; status Degraded com código 200–204 não invalida a URL.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RN-1.4 — </w:t>
      </w:r>
      <w:r>
        <w:rPr>
          <w:rFonts w:ascii="Arial" w:hAnsi="Arial" w:cs="Arial"/>
          <w:sz w:val="20"/>
          <w:szCs w:val="20"/>
        </w:rPr>
        <w:t xml:space="preserve">Um serviço pode ter múltiplos pais na hierarquia.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RN-1.5 — </w:t>
      </w:r>
      <w:r>
        <w:rPr>
          <w:rFonts w:ascii="Arial" w:hAnsi="Arial" w:cs="Arial"/>
          <w:sz w:val="20"/>
          <w:szCs w:val="20"/>
        </w:rPr>
        <w:t xml:space="preserve">Um serviço pode estar nos estados Ativo, Inativo ou Removido; campos editáveis são URL, vínculos hierárquicos e status.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RN-1.6 — </w:t>
      </w:r>
      <w:r>
        <w:rPr>
          <w:rFonts w:ascii="Arial" w:hAnsi="Arial" w:cs="Arial"/>
          <w:sz w:val="20"/>
          <w:szCs w:val="20"/>
        </w:rPr>
        <w:t xml:space="preserve">Inativar um serviço interrompe o monitoramento e remove os vínculos hierárquicos, mantendo o histórico.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RN-1.7 — </w:t>
      </w:r>
      <w:r>
        <w:rPr>
          <w:rFonts w:ascii="Arial" w:hAnsi="Arial" w:cs="Arial"/>
          <w:sz w:val="20"/>
          <w:szCs w:val="20"/>
        </w:rPr>
        <w:t xml:space="preserve">Reativar um serviço exige decisão explícita sobre restaurar ou não a hierarquia anterior.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RN-1.8 — </w:t>
      </w:r>
      <w:r>
        <w:rPr>
          <w:rFonts w:ascii="Arial" w:hAnsi="Arial" w:cs="Arial"/>
          <w:sz w:val="20"/>
          <w:szCs w:val="20"/>
        </w:rPr>
        <w:t xml:space="preserve">Remover um serviço elimina os vínculos hierárquicos permanentemente e mantém o histórico.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1.1: Incluir serviço sem hierarquia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sou Administrador autenticado no Portal de Serviço Administrativo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existem sistemas no inventário do Portal ainda não incluídos no monitoramento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incluo um sistema informando uma URL de healthcheck que responde com status 200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serviço passa a ser monitorado com status Ativo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a URL do healthcheck informada é salva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1.2: Incluir serviço com um ou mais pais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sou Administrador autenticado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existem serviços com status Ativo disponíveis como pai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incluo um sistema selecionando dois serviços pai e informando URL válida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serviço passa a ser monitorado com status Ativo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os dois vínculos hierárquicos com os pais são registrados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1.3: Rejeitar URL de healthcheck inválida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Esquema do Cenário: Rejeitar URL de healthcheck inválida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Dado que sou Administrador autenticado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E selecionei um sistema do inventário para incluir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Quando tento incluir o serviço informando URL com &lt;situação&gt;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Então o serviço não é incluído no monitoramento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E o sistema exibe mensagem indicando que &lt;mensagem&gt;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/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Exemplos: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situação                           | mensagem                            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campo vazio                        | a URL do healthcheck é obrigatória  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formato inválido (sem https://)    | a URL informada não está funcionando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URL válida que retorna status 500  | a URL informada não está funcionando  |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1.4: Inventário externo indisponível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sou Administrador autenticado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endpoint de inventário do Portal de Serviços está indisponível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acesso a tela de inclusão de serviços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a lista de sistemas disponíveis é exibida vazia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1.5: Editar serviço monitorado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existe um serviço com status Ativo no monitoramento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edito a URL do healthcheck para uma URL válida que responde com status 200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removo um serviço pai e adiciono outro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a nova URL é salva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os vínculos hierárquicos são atualizados conforme informado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1.6: Inativar serviço que possui filhos vinculados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o serviço E-TCE tem status Ativo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serviço Consulta Processual está vinculado a E-TCE como filho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inativo o serviço E-TCE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E-TCE passa para status Inativo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monitoramento de E-TCE é interrompido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vínculo hierárquico entre E-TCE e Consulta Processual é removido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histórico de indisponibilidades de E-TCE é mantido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1.7: Reativar serviço com opção de restaurar hierarquia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Esquema do Cenário: Reativar serviço com ou sem hierarquia anterior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Dado que o serviço E-TCE tem status Inativo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E possuía vínculo hierárquico com Consulta Processual antes de ser inativado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Quando reativo E-TCE e &lt;decisão&gt; restaurar a hierarquia anterior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Então E-TCE passa para status Ativo e o monitoramento é retomado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E os vínculos hierárquicos &lt;resultado&gt;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/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Exemplos: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decisão      | resultado                                      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opto por     | são restaurados com Consulta Processual como pai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opto por não | permanecem removidos                             |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1.8: Remover serviço do monitoramento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o serviço Portal de Serviços tem status Inativo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possuía vínculos hierárquicos registrados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removo o serviço Portal de Serviços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serviço passa para status Removido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não aparece mais na lista de serviços monitorados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todos os vínculos hierárquicos são eliminados permanentemente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histórico de indisponibilidades é mantido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i/>
          <w:sz w:val="18"/>
          <w:szCs w:val="18"/>
          <w:color w:val="9CA3AF"/>
          <w:lang w:val="pt-BR"/>
        </w:rPr>
        <w:t>Pontos em Aberto: Nenhum ponto em aberto identificado para esta feature.</w:t>
      </w:r>
    </w:p>
    <w:p>
      <w:pPr>
        <w:pStyle w:val="Normal"/>
      </w:pPr>
      <w:r>
        <w:rPr/>
        <w:br w:type="page"/>
      </w:r>
    </w:p>
    <w:p>
      <w:pPr>
        <w:pStyle w:val="Heading2"/>
      </w:pPr>
      <w:r>
        <w:rPr>
          <w:rFonts w:ascii="Arial" w:hAnsi="Arial" w:cs="Arial"/>
          <w:lang w:val="pt-BR"/>
        </w:rPr>
        <w:t>Feature 2: Monitoramento de Healthcheck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Feature: Monitoramento de Healthcheck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In order to registrar com precisão os períodos reais de indisponibilidade,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evitando falsos positivos por falhas transitórias de rede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As Sistema de Monitoramento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 want verificar periodicamente os endpoints, confirmar indisponibilidade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com duas falhas consecutivas via buffer e persistir apenas períodos confirmados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b/>
          <w:sz w:val="20"/>
          <w:szCs w:val="20"/>
          <w:lang w:val="pt-BR"/>
        </w:rPr>
        <w:t>Regras de Negócio: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RN-2.1 — </w:t>
      </w:r>
      <w:r>
        <w:rPr>
          <w:rFonts w:ascii="Arial" w:hAnsi="Arial" w:cs="Arial"/>
          <w:sz w:val="20"/>
          <w:szCs w:val="20"/>
        </w:rPr>
        <w:t xml:space="preserve">O sistema verifica os endpoints de todos os serviços com status Ativo na frequência configurada (padrão: 1 minuto).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RN-2.2 — </w:t>
      </w:r>
      <w:r>
        <w:rPr>
          <w:rFonts w:ascii="Arial" w:hAnsi="Arial" w:cs="Arial"/>
          <w:sz w:val="20"/>
          <w:szCs w:val="20"/>
        </w:rPr>
        <w:t xml:space="preserve">Serviços com status Inativo ou Removido não são verificados.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RN-2.3 — </w:t>
      </w:r>
      <w:r>
        <w:rPr>
          <w:rFonts w:ascii="Arial" w:hAnsi="Arial" w:cs="Arial"/>
          <w:sz w:val="20"/>
          <w:szCs w:val="20"/>
        </w:rPr>
        <w:t xml:space="preserve">Resposta com status code fora de 200–204 e erro de conexão são tratados como indisponibilidade.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RN-2.4 — </w:t>
      </w:r>
      <w:r>
        <w:rPr>
          <w:rFonts w:ascii="Arial" w:hAnsi="Arial" w:cs="Arial"/>
          <w:sz w:val="20"/>
          <w:szCs w:val="20"/>
        </w:rPr>
        <w:t xml:space="preserve">A primeira falha cria registro no buffer em memória; o período não é persistido no banco ainda.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RN-2.5 — </w:t>
      </w:r>
      <w:r>
        <w:rPr>
          <w:rFonts w:ascii="Arial" w:hAnsi="Arial" w:cs="Arial"/>
          <w:sz w:val="20"/>
          <w:szCs w:val="20"/>
        </w:rPr>
        <w:t xml:space="preserve">A segunda falha consecutiva confirma a indisponibilidade: persiste o início no Oracle 19c com o horário da primeira falha.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RN-2.6 — </w:t>
      </w:r>
      <w:r>
        <w:rPr>
          <w:rFonts w:ascii="Arial" w:hAnsi="Arial" w:cs="Arial"/>
          <w:sz w:val="20"/>
          <w:szCs w:val="20"/>
        </w:rPr>
        <w:t xml:space="preserve">Quando o endpoint retorna sucesso, o período é fechado no banco, o buffer é limpo e o ciclo retoma.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RN-2.7 — </w:t>
      </w:r>
      <w:r>
        <w:rPr>
          <w:rFonts w:ascii="Arial" w:hAnsi="Arial" w:cs="Arial"/>
          <w:sz w:val="20"/>
          <w:szCs w:val="20"/>
        </w:rPr>
        <w:t xml:space="preserve">O buffer é em memória; restart do sistema zera o buffer sem recuperação de estado.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RN-2.8 — </w:t>
      </w:r>
      <w:r>
        <w:rPr>
          <w:rFonts w:ascii="Arial" w:hAnsi="Arial" w:cs="Arial"/>
          <w:sz w:val="20"/>
          <w:szCs w:val="20"/>
        </w:rPr>
        <w:t xml:space="preserve">Apenas períodos de indisponibilidade são persistidos; verificações de sucesso não são armazenadas.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RN-2.9 — </w:t>
      </w:r>
      <w:r>
        <w:rPr>
          <w:rFonts w:ascii="Arial" w:hAnsi="Arial" w:cs="Arial"/>
          <w:sz w:val="20"/>
          <w:szCs w:val="20"/>
        </w:rPr>
        <w:t xml:space="preserve">Falha ao persistir no Oracle 19c gera exceção enviada ao sistema de log do tribunal.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2.1: Primeira falha cria registro no buffer sem persistir no banco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o serviço E-TCE tem status Ativo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não possui registro no buffer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 endpoint de E-TCE retorna status 503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um registro é criado no buffer para E-TCE com o horário da falha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nenhum período de indisponibilidade é persistido no banco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2.2: Segunda falha consecutiva confirma e persiste o período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o serviço E-TCE tem status Ativo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possui registro no buffer da primeira falha ocorrida às 11:35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 endpoint de E-TCE retorna status 503 novamente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período de indisponibilidade de E-TCE é persistido no banco com início às 11:35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buffer é atualizado indicando que o período já está sendo gravado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2.3: Recuperação fecha o período e limpa o buffer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o serviço E-TCE tem período de indisponibilidade aberto no banco desde as 11:35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buffer indica que o período está sendo gravado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 endpoint de E-TCE retorna status 200 às 13:35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período de indisponibilidade é fechado com fim às 13:35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registro de E-TCE é removido do buffer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ciclo de verificação retoma normalmente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2.4: Recuperação após primeira falha não persiste no banco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o serviço E-TCE tem status Ativo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possui registro no buffer apenas da primeira falha (período não persistido no banco)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 endpoint de E-TCE retorna status 200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registro de E-TCE é removido do buffer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nenhum período de indisponibilidade é persistido no banco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2.5: Erro de conexão tratado como indisponibilidade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o serviço E-TCE tem status Ativo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não possui registro no buffer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ocorre timeout ao tentar verificar o endpoint de E-TCE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um registro é criado no buffer para E-TCE com o horário da falha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nenhum período de indisponibilidade é persistido no banco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2.6: Serviços fora do ciclo de verificação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Esquema do Cenário: Serviço não verificado pelo monitoramento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Dado que o serviço Portal de Serviços tem status &lt;status&gt;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Quando o ciclo de verificação de healthcheck é executado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Então o endpoint do serviço Portal de Serviços não é verificado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/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Exemplos: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status 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Inativo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Removido |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2.7: Restart do sistema zera o buffer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o buffer contém registros de primeira falha para E-TCE e SIGESP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 sistema de monitoramento é reiniciado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buffer é zerado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ciclo de verificação reinicia do zero para todos os serviços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nenhuma recuperação do estado anterior do buffer é realizada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2.8: Falha ao persistir no banco gera exceção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o serviço E-TCE possui registro de primeira falha no buffer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 endpoint de E-TCE falha novamente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Oracle 19c está indisponível no momento da persistência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uma exceção é gerada e enviada ao sistema de log do tribunal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período de indisponibilidade não é persistido no banco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i/>
          <w:sz w:val="18"/>
          <w:szCs w:val="18"/>
          <w:color w:val="9CA3AF"/>
          <w:lang w:val="pt-BR"/>
        </w:rPr>
        <w:t>Pontos em Aberto: Nenhum ponto em aberto identificado para esta feature.</w:t>
      </w:r>
    </w:p>
    <w:p>
      <w:pPr>
        <w:pStyle w:val="Normal"/>
      </w:pPr>
      <w:r>
        <w:rPr/>
        <w:br w:type="page"/>
      </w:r>
    </w:p>
    <w:p>
      <w:pPr>
        <w:pStyle w:val="Heading2"/>
      </w:pPr>
      <w:r>
        <w:rPr>
          <w:rFonts w:ascii="Arial" w:hAnsi="Arial" w:cs="Arial"/>
          <w:lang w:val="pt-BR"/>
        </w:rPr>
        <w:t>Feature 3: Hierarquia de Serviços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Feature: Hierarquia de Serviços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In order to enriquecer os relatórios com contexto sobre causa raiz das falhas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e as relações entre sistemas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As Administrador de Sistemas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 want que a hierarquia seja registrada e exibida nos relatórios,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mantendo o monitoramento independente por serviço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b/>
          <w:sz w:val="20"/>
          <w:szCs w:val="20"/>
          <w:lang w:val="pt-BR"/>
        </w:rPr>
        <w:t>Regras de Negócio: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RN-3.1 — </w:t>
      </w:r>
      <w:r>
        <w:rPr>
          <w:rFonts w:ascii="Arial" w:hAnsi="Arial" w:cs="Arial"/>
          <w:sz w:val="20"/>
          <w:szCs w:val="20"/>
        </w:rPr>
        <w:t xml:space="preserve">Cada serviço segue o fluxo de monitoramento de forma independente; a hierarquia não interfere na detecção.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RN-3.2 — </w:t>
      </w:r>
      <w:r>
        <w:rPr>
          <w:rFonts w:ascii="Arial" w:hAnsi="Arial" w:cs="Arial"/>
          <w:sz w:val="20"/>
          <w:szCs w:val="20"/>
        </w:rPr>
        <w:t xml:space="preserve">Um serviço pode ter múltiplos pais e múltiplos filhos.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RN-3.3 — </w:t>
      </w:r>
      <w:r>
        <w:rPr>
          <w:rFonts w:ascii="Arial" w:hAnsi="Arial" w:cs="Arial"/>
          <w:sz w:val="20"/>
          <w:szCs w:val="20"/>
        </w:rPr>
        <w:t xml:space="preserve">O relatório do Usuário exibe apenas o sistema acessado, sem informações hierárquicas.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RN-3.4 — </w:t>
      </w:r>
      <w:r>
        <w:rPr>
          <w:rFonts w:ascii="Arial" w:hAnsi="Arial" w:cs="Arial"/>
          <w:sz w:val="20"/>
          <w:szCs w:val="20"/>
        </w:rPr>
        <w:t xml:space="preserve">O relatório do Administrador exibe todos os sistemas com indisponibilidade no dia com relação hierárquica, mesmo que pai e filho tenham ficado indisponíveis em horários distintos.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RN-3.5 — </w:t>
      </w:r>
      <w:r>
        <w:rPr>
          <w:rFonts w:ascii="Arial" w:hAnsi="Arial" w:cs="Arial"/>
          <w:sz w:val="20"/>
          <w:szCs w:val="20"/>
        </w:rPr>
        <w:t xml:space="preserve">Quando um serviço é recuperado, seu período é fechado independentemente do status dos demais da hierarquia.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3.1: Pai e filho registram períodos independentes no banco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E-TCE e Consulta Processual têm status Ativo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Consulta Processual é filho de E-TCE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ambos possuem registro de primeira falha no buffer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ambos os endpoints retornam status 503 novamente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período de E-TCE é persistido no banco com seu próprio horário de início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período de Consulta Processual é persistido com seu próprio horário de início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cada serviço possui seu próprio registro de indisponibilidade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3.2: Recuperação independente dentro da hierarquia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Esquema do Cenário: Recuperação de serviço independente do outro na hierarquia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Dado que E-TCE e Consulta Processual têm períodos de indisponibilidade abertos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Quando o endpoint de &lt;serviço&gt; retorna status 200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Então o período de indisponibilidade de &lt;serviço&gt; é fechado no banco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E o período de &lt;outro&gt; permanece aberto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/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Exemplos: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serviço              | outro              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E-TCE                | Consulta Processual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Consulta Processual  | E-TCE                |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3.3: Relatório do Usuário exibe apenas o sistema acessado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E-TCE e Consulta Processual tiveram indisponibilidade no mesmo dia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usuário acessa apenas o sistema Consulta Processual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 usuário consulta o relatório do dia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relatório exibe apenas os períodos de indisponibilidade de Consulta Processual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nenhuma informação sobre E-TCE ou sobre a relação hierárquica é exibida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3.4: Relatório do Administrador exibe hierarquia independente dos horários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E-TCE ficou indisponível das 08h às 09h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Consulta Processual ficou indisponível das 14h às 15h no mesmo dia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Consulta Processual é filho de E-TCE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 Administrador consulta o relatório do dia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relatório exibe o período de E-TCE com seus horários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relatório exibe o período de Consulta Processual com seus horários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a relação hierárquica entre E-TCE (pai) e Consulta Processual (filho) é indicada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i/>
          <w:sz w:val="18"/>
          <w:szCs w:val="18"/>
          <w:color w:val="9CA3AF"/>
          <w:lang w:val="pt-BR"/>
        </w:rPr>
        <w:t>Pontos em Aberto: Nenhum ponto em aberto identificado para esta feature.</w:t>
      </w:r>
    </w:p>
    <w:p>
      <w:pPr>
        <w:pStyle w:val="Normal"/>
      </w:pPr>
      <w:r>
        <w:rPr/>
        <w:br w:type="page"/>
      </w:r>
    </w:p>
    <w:p>
      <w:pPr>
        <w:pStyle w:val="Heading2"/>
      </w:pPr>
      <w:r>
        <w:rPr>
          <w:rFonts w:ascii="Arial" w:hAnsi="Arial" w:cs="Arial"/>
          <w:lang w:val="pt-BR"/>
        </w:rPr>
        <w:t>Feature 4: Relatório por Limiar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Feature: Relatório por Limiar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In order to permitir que cidadãos comprovem indisponibilidade em petições processuais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As Sistema de Monitoramento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 want gerar automaticamente ao final de cada dia um relatório assinado e autenticável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com os sistemas que atingiram o limiar de indisponibilidade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b/>
          <w:sz w:val="20"/>
          <w:szCs w:val="20"/>
          <w:lang w:val="pt-BR"/>
        </w:rPr>
        <w:t>Regras de Negócio: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RN-4.1 — </w:t>
      </w:r>
      <w:r>
        <w:rPr>
          <w:rFonts w:ascii="Arial" w:hAnsi="Arial" w:cs="Arial"/>
          <w:sz w:val="20"/>
          <w:szCs w:val="20"/>
        </w:rPr>
        <w:t xml:space="preserve">O relatório é gerado automaticamente à meia-noite (configurável).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RN-4.2 — </w:t>
      </w:r>
      <w:r>
        <w:rPr>
          <w:rFonts w:ascii="Arial" w:hAnsi="Arial" w:cs="Arial"/>
          <w:sz w:val="20"/>
          <w:szCs w:val="20"/>
        </w:rPr>
        <w:t xml:space="preserve">O limiar é configurável (padrão: 120 min); um sistema entra se a soma total do dia for maior ou igual ao limiar, mesmo em períodos não contínuos.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RN-4.3 — </w:t>
      </w:r>
      <w:r>
        <w:rPr>
          <w:rFonts w:ascii="Arial" w:hAnsi="Arial" w:cs="Arial"/>
          <w:sz w:val="20"/>
          <w:szCs w:val="20"/>
        </w:rPr>
        <w:t xml:space="preserve">O relatório exibe apenas sistemas que atingiram o limiar.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RN-4.4 — </w:t>
      </w:r>
      <w:r>
        <w:rPr>
          <w:rFonts w:ascii="Arial" w:hAnsi="Arial" w:cs="Arial"/>
          <w:sz w:val="20"/>
          <w:szCs w:val="20"/>
        </w:rPr>
        <w:t xml:space="preserve">Para cada sistema exibe todos os períodos (hora início, hora fim, tempo) e o total acumulado.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RN-4.5 — </w:t>
      </w:r>
      <w:r>
        <w:rPr>
          <w:rFonts w:ascii="Arial" w:hAnsi="Arial" w:cs="Arial"/>
          <w:sz w:val="20"/>
          <w:szCs w:val="20"/>
        </w:rPr>
        <w:t xml:space="preserve">Disponível apenas na página de consulta do Portal de Serviços; não é enviado por e-mail.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RN-4.6 — </w:t>
      </w:r>
      <w:r>
        <w:rPr>
          <w:rFonts w:ascii="Arial" w:hAnsi="Arial" w:cs="Arial"/>
          <w:sz w:val="20"/>
          <w:szCs w:val="20"/>
        </w:rPr>
        <w:t xml:space="preserve">Contém: cabeçalho, data de referência, tabela de períodos, total do dia, assinatura do Diretor DTI, QR Code com URL de autenticação, código verificador e código do usuário.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RN-4.7 — </w:t>
      </w:r>
      <w:r>
        <w:rPr>
          <w:rFonts w:ascii="Arial" w:hAnsi="Arial" w:cs="Arial"/>
          <w:sz w:val="20"/>
          <w:szCs w:val="20"/>
        </w:rPr>
        <w:t xml:space="preserve">Código verificador é único por relatório diário; código do usuário é único por usuário, gerenciado pelo sistema.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RN-4.8 — </w:t>
      </w:r>
      <w:r>
        <w:rPr>
          <w:rFonts w:ascii="Arial" w:hAnsi="Arial" w:cs="Arial"/>
          <w:sz w:val="20"/>
          <w:szCs w:val="20"/>
        </w:rPr>
        <w:t xml:space="preserve">Se nenhum sistema atingir o limiar, nenhum relatório é gerado.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RN-4.9 — </w:t>
      </w:r>
      <w:r>
        <w:rPr>
          <w:rFonts w:ascii="Arial" w:hAnsi="Arial" w:cs="Arial"/>
          <w:sz w:val="20"/>
          <w:szCs w:val="20"/>
        </w:rPr>
        <w:t xml:space="preserve">Falha na geração gera exceção enviada ao sistema de log do tribunal.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4.1: Sistemas que entram e que ficam fora do relatório pelo limiar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Esquema do Cenário: Inclusão ou exclusão de sistema pelo limiar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Dado que o limiar configurado é 120 minutos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E o sistema &lt;nome&gt; acumulou &lt;total&gt; minutos de indisponibilidade no dia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Quando o relatório por limiar é gerado à meia-noite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Então o sistema &lt;nome&gt; &lt;resultado&gt; no relatório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/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Exemplos: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nome                | total | resultado     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E-TCE               | 120   | é incluído    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Consulta Processual | 135   | é incluído    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Portal de Serviços  | 90    | não é incluído  |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4.2: Múltiplos períodos não contínuos atingem o limiar pela soma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o limiar configurado é 120 minutos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Consulta Processual ficou indisponível das 14h às 15h (60 min)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das 17h às 18h15 (75 min) no mesmo dia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 relatório por limiar é gerado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Consulta Processual é incluído com os dois períodos exibidos individualmente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total acumulado do dia exibe 135 minutos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4.3: Nenhum sistema atinge o limiar no dia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nenhum sistema acumulou indisponibilidade igual ou superior a 120 minutos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 processamento do fechamento do dia é executado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nenhum relatório por limiar é gerado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a consulta da data exibe mensagem informando ausência de indisponibilidades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4.4: Código do usuário incluído conforme quem acessa o relatório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o relatório por limiar do dia está disponível para consulta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usuário Maria possui o código de usuário "000000123"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Maria acessa o relatório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QR Code contém o código verificador do relatório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código "000000123" de Maria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4.5: Falha na geração do relatório por limiar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um ou mais sistemas atingiram o limiar no dia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ocorre uma falha durante a geração do relatório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uma exceção é gerada e enviada ao sistema de log do tribunal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relatório não é disponibilizado para consulta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i/>
          <w:sz w:val="18"/>
          <w:szCs w:val="18"/>
          <w:color w:val="9CA3AF"/>
          <w:lang w:val="pt-BR"/>
        </w:rPr>
        <w:t>Pontos em Aberto: Nenhum ponto em aberto identificado para esta feature.</w:t>
      </w:r>
    </w:p>
    <w:p>
      <w:pPr>
        <w:pStyle w:val="Normal"/>
      </w:pPr>
      <w:r>
        <w:rPr/>
        <w:br w:type="page"/>
      </w:r>
    </w:p>
    <w:p>
      <w:pPr>
        <w:pStyle w:val="Heading2"/>
      </w:pPr>
      <w:r>
        <w:rPr>
          <w:rFonts w:ascii="Arial" w:hAnsi="Arial" w:cs="Arial"/>
          <w:lang w:val="pt-BR"/>
        </w:rPr>
        <w:t>Feature 5: Relatório Diário do Administrador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Feature: Relatório Diário do Administrador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In order to acompanhar todas as indisponibilidades do dia com contexto hierárquico completo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As Administrador de Sistemas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 want receber automaticamente ao final do dia um relatório consolidado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com todos os sistemas que tiveram indisponibilidade, sem filtro de limiar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b/>
          <w:sz w:val="20"/>
          <w:szCs w:val="20"/>
          <w:lang w:val="pt-BR"/>
        </w:rPr>
        <w:t>Regras de Negócio: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RN-5.1 — </w:t>
      </w:r>
      <w:r>
        <w:rPr>
          <w:rFonts w:ascii="Arial" w:hAnsi="Arial" w:cs="Arial"/>
          <w:sz w:val="20"/>
          <w:szCs w:val="20"/>
        </w:rPr>
        <w:t xml:space="preserve">O relatório é gerado automaticamente à meia-noite (configurável), junto com o relatório por limiar.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RN-5.2 — </w:t>
      </w:r>
      <w:r>
        <w:rPr>
          <w:rFonts w:ascii="Arial" w:hAnsi="Arial" w:cs="Arial"/>
          <w:sz w:val="20"/>
          <w:szCs w:val="20"/>
        </w:rPr>
        <w:t xml:space="preserve">Inclui todos os sistemas com indisponibilidade no dia, sem filtro de limiar.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RN-5.3 — </w:t>
      </w:r>
      <w:r>
        <w:rPr>
          <w:rFonts w:ascii="Arial" w:hAnsi="Arial" w:cs="Arial"/>
          <w:sz w:val="20"/>
          <w:szCs w:val="20"/>
        </w:rPr>
        <w:t xml:space="preserve">Exibe a relação hierárquica entre os sistemas.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RN-5.4 — </w:t>
      </w:r>
      <w:r>
        <w:rPr>
          <w:rFonts w:ascii="Arial" w:hAnsi="Arial" w:cs="Arial"/>
          <w:sz w:val="20"/>
          <w:szCs w:val="20"/>
        </w:rPr>
        <w:t xml:space="preserve">Segue o mesmo formato do relatório por limiar, porém sem código verificador e sem código do usuário.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RN-5.5 — </w:t>
      </w:r>
      <w:r>
        <w:rPr>
          <w:rFonts w:ascii="Arial" w:hAnsi="Arial" w:cs="Arial"/>
          <w:sz w:val="20"/>
          <w:szCs w:val="20"/>
        </w:rPr>
        <w:t xml:space="preserve">Se nenhum sistema teve indisponibilidade no dia, o relatório não é gerado.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RN-5.6 — </w:t>
      </w:r>
      <w:r>
        <w:rPr>
          <w:rFonts w:ascii="Arial" w:hAnsi="Arial" w:cs="Arial"/>
          <w:sz w:val="20"/>
          <w:szCs w:val="20"/>
        </w:rPr>
        <w:t xml:space="preserve">O Administrador pode gerar relatório parcial do dia atual sob demanda; o relatório parcial indica que está em andamento.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RN-5.7 — </w:t>
      </w:r>
      <w:r>
        <w:rPr>
          <w:rFonts w:ascii="Arial" w:hAnsi="Arial" w:cs="Arial"/>
          <w:sz w:val="20"/>
          <w:szCs w:val="20"/>
        </w:rPr>
        <w:t xml:space="preserve">Falha na geração gera exceção enviada ao sistema de log do tribunal.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5.1: Relatório diário inclui todos os sistemas, inclusive abaixo do limiar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no dia ocorreram indisponibilidades em E-TCE (120 min) e Portal de Serviços (45 min)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limiar configurado é 120 minutos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 relatório diário do Administrador é gerado à meia-noite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relatório inclui E-TCE com seus períodos e total de 120 minutos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relatório inclui Portal de Serviços com seus períodos e total de 45 minutos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a relação hierárquica entre os sistemas é indicada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relatório não contém código verificador nem código do usuário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5.2: Relatório diário não é gerado sem indisponibilidades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nenhum sistema teve indisponibilidade registrada no dia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 processamento do fechamento do dia é executado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relatório diário do Administrador não é gerado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a consulta da data exibe mensagem informando ausência de indisponibilidades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5.3: Administrador gera relatório parcial do dia atual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o Administrador está autenticado no Portal de Serviço Administrativo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E-TCE tem um período de indisponibilidade em andamento desde as 13h45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 Administrador aciona o botão "Gerar Parcial"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sistema gera um relatório com as indisponibilidades até o momento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relatório exibe indicação de que é um relatório parcial em andamento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período aberto de E-TCE aparece com horário de início mas sem horário de fim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5.4: Falha na geração do relatório diário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um ou mais sistemas tiveram indisponibilidade no dia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ocorre uma falha durante a geração do relatório diário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uma exceção é gerada e enviada ao sistema de log do tribunal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relatório não é disponibilizado para consulta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i/>
          <w:sz w:val="18"/>
          <w:szCs w:val="18"/>
          <w:color w:val="9CA3AF"/>
          <w:lang w:val="pt-BR"/>
        </w:rPr>
        <w:t>Pontos em Aberto: Nenhum ponto em aberto identificado para esta feature.</w:t>
      </w:r>
    </w:p>
    <w:p>
      <w:pPr>
        <w:pStyle w:val="Normal"/>
      </w:pPr>
      <w:r>
        <w:rPr/>
        <w:br w:type="page"/>
      </w:r>
    </w:p>
    <w:p>
      <w:pPr>
        <w:pStyle w:val="Heading2"/>
      </w:pPr>
      <w:r>
        <w:rPr>
          <w:rFonts w:ascii="Arial" w:hAnsi="Arial" w:cs="Arial"/>
          <w:lang w:val="pt-BR"/>
        </w:rPr>
        <w:t>Feature 6: Consulta de Relatórios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Feature: Consulta de Relatórios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In order to acessar e utilizar informações de indisponibilidade quando necessário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As Usuário ou Administrador autenticado no Portal de Serviços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 want consultar relatórios de indisponibilidade por data,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com visibilidade adequada ao meu perfil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b/>
          <w:sz w:val="20"/>
          <w:szCs w:val="20"/>
          <w:lang w:val="pt-BR"/>
        </w:rPr>
        <w:t>Regras de Negócio: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RN-6.1 — </w:t>
      </w:r>
      <w:r>
        <w:rPr>
          <w:rFonts w:ascii="Arial" w:hAnsi="Arial" w:cs="Arial"/>
          <w:sz w:val="20"/>
          <w:szCs w:val="20"/>
        </w:rPr>
        <w:t xml:space="preserve">Relatórios ficam disponíveis a partir do dia seguinte (d-1); qualquer data histórica pode ser consultada.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RN-6.2 — </w:t>
      </w:r>
      <w:r>
        <w:rPr>
          <w:rFonts w:ascii="Arial" w:hAnsi="Arial" w:cs="Arial"/>
          <w:sz w:val="20"/>
          <w:szCs w:val="20"/>
        </w:rPr>
        <w:t xml:space="preserve">O tipo de relatório exibido é determinado pela claim listaGruposSistema do token SSO; valor PRT_SRV_ADMINISTRADORES identifica o Administrador.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RN-6.3 — </w:t>
      </w:r>
      <w:r>
        <w:rPr>
          <w:rFonts w:ascii="Arial" w:hAnsi="Arial" w:cs="Arial"/>
          <w:sz w:val="20"/>
          <w:szCs w:val="20"/>
        </w:rPr>
        <w:t xml:space="preserve">O Usuário vê o relatório por limiar — sistemas que atingiram o limiar — sem hierarquia.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RN-6.4 — </w:t>
      </w:r>
      <w:r>
        <w:rPr>
          <w:rFonts w:ascii="Arial" w:hAnsi="Arial" w:cs="Arial"/>
          <w:sz w:val="20"/>
          <w:szCs w:val="20"/>
        </w:rPr>
        <w:t xml:space="preserve">O Administrador vê todos os sistemas com indisponibilidade no dia, com hierarquia indicada.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RN-6.5 — </w:t>
      </w:r>
      <w:r>
        <w:rPr>
          <w:rFonts w:ascii="Arial" w:hAnsi="Arial" w:cs="Arial"/>
          <w:sz w:val="20"/>
          <w:szCs w:val="20"/>
        </w:rPr>
        <w:t xml:space="preserve">Quando não há indisponibilidades na data consultada, o sistema exibe mensagem informando ausência — para ambos os perfis.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RN-6.6 — </w:t>
      </w:r>
      <w:r>
        <w:rPr>
          <w:rFonts w:ascii="Arial" w:hAnsi="Arial" w:cs="Arial"/>
          <w:sz w:val="20"/>
          <w:szCs w:val="20"/>
        </w:rPr>
        <w:t xml:space="preserve">Usuário não autenticado é redirecionado para o login do Portal de Serviços.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RN-6.7 — </w:t>
      </w:r>
      <w:r>
        <w:rPr>
          <w:rFonts w:ascii="Arial" w:hAnsi="Arial" w:cs="Arial"/>
          <w:sz w:val="20"/>
          <w:szCs w:val="20"/>
        </w:rPr>
        <w:t xml:space="preserve">Botão 'Baixar PDF' disponível em relatório d-1 concluído; botão 'Baixar Parcial' disponível apenas para o Administrador no dia atual.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6.1: Perfil determina a visão do relatório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Esquema do Cenário: Visão do relatório por perfil do usuário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Dado que existo no sistema com o token &lt;perfil&gt;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E existem sistemas com indisponibilidade na data consultada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Quando acesso a página de relatórios e consulto uma data d-1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Então o sistema exibe &lt;conteúdo&gt;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/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Exemplos: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perfil                            | conteúdo                                                      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sem PRT_SRV_ADMINISTRADORES       | apenas sistemas que atingiram o limiar, sem hierarquia         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com PRT_SRV_ADMINISTRADORES       | todos os sistemas com indisponibilidade, com hierarquia          |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6.2: Consulta de data sem indisponibilidades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estou autenticado no Portal de Serviços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não há indisponibilidades registradas na data consultada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consulto o relatório de uma data específica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sistema exibe mensagem informando que não houve indisponibilidades naquele dia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6.3: Consulta de data futura ou do dia atual pelo Usuário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estou autenticado como Usuário (sem claim de Administrador)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consulto o relatório de uma data futura ou da data atual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sistema exibe mensagem informando que não há relatório disponível para a data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6.4: Usuário não autenticado tenta acessar relatórios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não estou autenticado no Portal de Serviços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tento acessar a página de relatórios de indisponibilidade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sou redirecionado para a página de login do Portal de Serviços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6.5: Download de PDF disponível para relatório d-1 concluído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estou autenticado e existe relatório concluído para a data consultada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consulto o relatório de uma data d-1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botão "Baixar PDF" está disponível no relatório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6.6: Administrador baixa relatório parcial do dia atual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estou autenticado como Administrador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existem indisponibilidades registradas no dia atual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aciono o botão "Gerar Parcial"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relatório parcial é exibido com indicação de que está em andamento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o botão "Baixar Parcial" está disponível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i/>
          <w:sz w:val="18"/>
          <w:szCs w:val="18"/>
          <w:color w:val="9CA3AF"/>
          <w:lang w:val="pt-BR"/>
        </w:rPr>
        <w:t>Pontos em Aberto: Nenhum ponto em aberto identificado para esta feature.</w:t>
      </w:r>
    </w:p>
    <w:p>
      <w:pPr>
        <w:pStyle w:val="Normal"/>
      </w:pPr>
      <w:r>
        <w:rPr/>
        <w:br w:type="page"/>
      </w:r>
    </w:p>
    <w:p>
      <w:pPr>
        <w:pStyle w:val="Heading2"/>
      </w:pPr>
      <w:r>
        <w:rPr>
          <w:rFonts w:ascii="Arial" w:hAnsi="Arial" w:cs="Arial"/>
          <w:lang w:val="pt-BR"/>
        </w:rPr>
        <w:t>Feature 7: Autenticação de Relatório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Feature: Autenticação de Relatório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In order to confirmar que um relatório apresentado em petição é legítimo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e foi gerado pelo TCE-MG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As Usuário autenticado no Portal de Serviços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I want informar o código verificador e o código do usuário para validar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e visualizar o relatório original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b/>
          <w:sz w:val="20"/>
          <w:szCs w:val="20"/>
          <w:lang w:val="pt-BR"/>
        </w:rPr>
        <w:t>Regras de Negócio: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RN-7.1 — </w:t>
      </w:r>
      <w:r>
        <w:rPr>
          <w:rFonts w:ascii="Arial" w:hAnsi="Arial" w:cs="Arial"/>
          <w:sz w:val="20"/>
          <w:szCs w:val="20"/>
        </w:rPr>
        <w:t xml:space="preserve">A funcionalidade requer o mesmo nível de autenticação da consulta de relatórios.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RN-7.2 — </w:t>
      </w:r>
      <w:r>
        <w:rPr>
          <w:rFonts w:ascii="Arial" w:hAnsi="Arial" w:cs="Arial"/>
          <w:sz w:val="20"/>
          <w:szCs w:val="20"/>
        </w:rPr>
        <w:t xml:space="preserve">A autenticação é realizada informando o código verificador (único por relatório) e o código do usuário (único por usuário, gerenciado pelo sistema).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RN-7.3 — </w:t>
      </w:r>
      <w:r>
        <w:rPr>
          <w:rFonts w:ascii="Arial" w:hAnsi="Arial" w:cs="Arial"/>
          <w:sz w:val="20"/>
          <w:szCs w:val="20"/>
        </w:rPr>
        <w:t xml:space="preserve">Quando ambos os códigos são válidos e correspondem, o relatório original é exibido com sua estrutura completa.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 xml:space="preserve">RN-7.4 — </w:t>
      </w:r>
      <w:r>
        <w:rPr>
          <w:rFonts w:ascii="Arial" w:hAnsi="Arial" w:cs="Arial"/>
          <w:sz w:val="20"/>
          <w:szCs w:val="20"/>
        </w:rPr>
        <w:t xml:space="preserve">Quando qualquer código é inválido ou não corresponde, o sistema exibe mensagem informando que o relatório não foi encontrado.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7.1: Autenticar relatório com códigos válidos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estou autenticado no Portal de Serviços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 possuo o código verificador "0000001" e o código de usuário "000000123" de um relatório existente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aciono a autenticação informando esses códigos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o sistema localiza e exibe o relatório original com sua estrutura completa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7.2: Rejeitar autenticação com código inválido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Esquema do Cenário: Rejeitar autenticação com código inválido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Dado que estou autenticado no Portal de Serviços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Quando aciono a autenticação informando &lt;situação&gt;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Então o sistema exibe mensagem informando que o relatório não foi encontrado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/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Exemplos: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situação                                                           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um código verificador que não existe no sistema                       |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    | código verificador válido mas código de usuário que não corresponde   |</w:t>
      </w:r>
    </w:p>
    <w:p>
      <w:pPr>
        <w:pStyle w:val="Normal"/>
      </w:pPr>
    </w:p>
    <w:p>
      <w:pPr>
        <w:pStyle w:val="Heading3"/>
      </w:pPr>
      <w:r>
        <w:rPr>
          <w:rFonts w:ascii="Arial" w:hAnsi="Arial" w:cs="Arial"/>
          <w:lang w:val="pt-BR"/>
        </w:rPr>
        <w:t>Cenário 7.3: Usuário não autenticado tenta acessar autenticação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Dado que não estou autenticado no Portal de Serviços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Quando tento acessar a funcionalidade de autenticação de relatório</w:t>
      </w:r>
    </w:p>
    <w:p>
      <w:pPr>
        <w:pStyle w:val="HTMLCode"/>
        <w:shd w:val="clear" w:color="auto" w:fill="F3F4F6"/>
      </w:pPr>
      <w:r>
        <w:rPr>
          <w:rStyle w:val="HTMLCode"/>
          <w:rFonts w:ascii="Courier New" w:hAnsi="Courier New" w:cs="Courier New"/>
          <w:sz w:val="18"/>
          <w:szCs w:val="18"/>
          <w:color w:val="1f2937"/>
        </w:rPr>
        <w:t xml:space="preserve">Então sou redirecionado para a página de login do Portal de Serviços</w:t>
      </w:r>
    </w:p>
    <w:p>
      <w:pPr>
        <w:pStyle w:val="Normal"/>
      </w:pPr>
    </w:p>
    <w:p>
      <w:pPr>
        <w:pStyle w:val="Normal"/>
      </w:pPr>
      <w:r>
        <w:rPr>
          <w:rFonts w:ascii="Arial" w:hAnsi="Arial" w:cs="Arial"/>
          <w:i/>
          <w:sz w:val="18"/>
          <w:szCs w:val="18"/>
          <w:color w:val="9CA3AF"/>
          <w:lang w:val="pt-BR"/>
        </w:rPr>
        <w:t>Pontos em Aberto: Nenhum ponto em aberto identificado para esta feature.</w:t>
      </w:r>
    </w:p>
    <w:p>
      <w:pPr>
        <w:sectPr>
          <w:headerReference w:type="even" r:id="rId11"/>
          <w:headerReference w:type="default" r:id="rId12"/>
          <w:footerReference w:type="even" r:id="rId13"/>
          <w:footerReference w:type="default" r:id="rId14"/>
          <w:pgSz w:w="11906" w:h="16838"/>
          <w:pgMar w:left="1134" w:right="1134" w:gutter="0" w:header="709" w:top="1701" w:footer="1043" w:bottom="1134"/>
          <w:pgNumType w:fmt="decimal" w:start="2"/>
          <w:formProt w:val="false"/>
          <w:textDirection w:val="lrTb"/>
        </w:sectPr>
      </w:pPr>
    </w:p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INA RORIZ PIMENTA" w:date="2025-09-25T11:01:00Z" w:initials="cp">
    <w:p>
      <w:pPr>
        <w:overflowPunct w:val="false"/>
        <w:rPr/>
      </w:pPr>
      <w:r>
        <w:rPr>
          <w:rFonts w:ascii="Liberation Serif" w:hAnsi="Liberation Serif" w:eastAsia="DejaVu Sans" w:cs="DejaVu Sans"/>
          <w:lang w:val="en-US" w:eastAsia="en-US" w:bidi="en-US"/>
        </w:rPr>
        <w:t>Marcar as regras removidas com a opção “tachado”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Cascadia Mono SemiBold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Tahoma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68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3613"/>
      <w:gridCol w:w="3263"/>
      <w:gridCol w:w="1558"/>
      <w:gridCol w:w="1433"/>
    </w:tblGrid>
    <w:tr>
      <w:trPr>
        <w:trHeight w:val="300" w:hRule="atLeast"/>
        <w:cantSplit w:val="true"/>
      </w:trPr>
      <w:tc>
        <w:tcPr>
          <w:tcW w:w="36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>Emitido por: DTI</w:t>
          </w:r>
        </w:p>
      </w:tc>
      <w:tc>
        <w:tcPr>
          <w:tcW w:w="326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 xml:space="preserve">Aprovado por: </w:t>
          </w:r>
          <w:r>
            <w:rPr>
              <w:rFonts w:cs="Arial" w:ascii="Arial" w:hAnsi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419"/>
              <w:tab w:val="clear" w:pos="8838"/>
              <w:tab w:val="left" w:pos="1038" w:leader="none"/>
            </w:tabs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>Xx/xx/xx</w:t>
          </w:r>
        </w:p>
      </w:tc>
      <w:tc>
        <w:tcPr>
          <w:tcW w:w="143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419"/>
              <w:tab w:val="clear" w:pos="8838"/>
              <w:tab w:val="left" w:pos="1038" w:leader="none"/>
            </w:tabs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 xml:space="preserve">Página </w:t>
          </w:r>
          <w:r>
            <w:rPr>
              <w:rFonts w:cs="Arial" w:ascii="Arial" w:hAnsi="Arial"/>
              <w:color w:val="auto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  <w:color w:val="auto"/>
            </w:rPr>
            <w:instrText xml:space="preserve"> PAGE </w:instrTex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separate"/>
          </w:r>
          <w:r>
            <w:rPr>
              <w:sz w:val="16"/>
              <w:szCs w:val="16"/>
              <w:rFonts w:cs="Arial" w:ascii="Arial" w:hAnsi="Arial"/>
              <w:color w:val="auto"/>
            </w:rPr>
            <w:t>0</w: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end"/>
          </w:r>
          <w:r>
            <w:rPr>
              <w:rFonts w:cs="Arial" w:ascii="Arial" w:hAnsi="Arial"/>
              <w:color w:val="auto"/>
              <w:sz w:val="16"/>
              <w:szCs w:val="16"/>
            </w:rPr>
            <w:t xml:space="preserve"> de </w:t>
          </w:r>
          <w:r>
            <w:rPr>
              <w:rFonts w:cs="Arial" w:ascii="Arial" w:hAnsi="Arial"/>
              <w:color w:val="auto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  <w:color w:val="auto"/>
            </w:rPr>
            <w:instrText xml:space="preserve"> NUMPAGES </w:instrTex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separate"/>
          </w:r>
          <w:r>
            <w:rPr>
              <w:sz w:val="16"/>
              <w:szCs w:val="16"/>
              <w:rFonts w:cs="Arial" w:ascii="Arial" w:hAnsi="Arial"/>
              <w:color w:val="auto"/>
            </w:rPr>
            <w:t>5</w: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end"/>
          </w:r>
        </w:p>
      </w:tc>
    </w:tr>
  </w:tbl>
  <w:p>
    <w:pPr>
      <w:pStyle w:val="Footer"/>
      <w:tabs>
        <w:tab w:val="clear" w:pos="4419"/>
        <w:tab w:val="clear" w:pos="8838"/>
      </w:tabs>
      <w:rPr>
        <w:sz w:val="16"/>
        <w:szCs w:val="16"/>
      </w:rPr>
    </w:pPr>
    <w:r>
      <w:rPr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68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3613"/>
      <w:gridCol w:w="3263"/>
      <w:gridCol w:w="1558"/>
      <w:gridCol w:w="1433"/>
    </w:tblGrid>
    <w:tr>
      <w:trPr>
        <w:trHeight w:val="300" w:hRule="atLeast"/>
        <w:cantSplit w:val="true"/>
      </w:trPr>
      <w:tc>
        <w:tcPr>
          <w:tcW w:w="36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>Emitido por: DTI</w:t>
          </w:r>
        </w:p>
      </w:tc>
      <w:tc>
        <w:tcPr>
          <w:tcW w:w="326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 xml:space="preserve">Aprovado por: </w:t>
          </w:r>
          <w:r>
            <w:rPr>
              <w:rFonts w:cs="Arial" w:ascii="Arial" w:hAnsi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419"/>
              <w:tab w:val="clear" w:pos="8838"/>
              <w:tab w:val="left" w:pos="1038" w:leader="none"/>
            </w:tabs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>Xx/xx/xx</w:t>
          </w:r>
        </w:p>
      </w:tc>
      <w:tc>
        <w:tcPr>
          <w:tcW w:w="143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419"/>
              <w:tab w:val="clear" w:pos="8838"/>
              <w:tab w:val="left" w:pos="1038" w:leader="none"/>
            </w:tabs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 xml:space="preserve">Página </w:t>
          </w:r>
          <w:r>
            <w:rPr>
              <w:rFonts w:cs="Arial" w:ascii="Arial" w:hAnsi="Arial"/>
              <w:color w:val="auto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  <w:color w:val="auto"/>
            </w:rPr>
            <w:instrText xml:space="preserve"> PAGE </w:instrTex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separate"/>
          </w:r>
          <w:r>
            <w:rPr>
              <w:sz w:val="16"/>
              <w:szCs w:val="16"/>
              <w:rFonts w:cs="Arial" w:ascii="Arial" w:hAnsi="Arial"/>
              <w:color w:val="auto"/>
            </w:rPr>
            <w:t>5</w: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end"/>
          </w:r>
          <w:r>
            <w:rPr>
              <w:rFonts w:cs="Arial" w:ascii="Arial" w:hAnsi="Arial"/>
              <w:color w:val="auto"/>
              <w:sz w:val="16"/>
              <w:szCs w:val="16"/>
            </w:rPr>
            <w:t xml:space="preserve"> de </w:t>
          </w:r>
          <w:r>
            <w:rPr>
              <w:rFonts w:cs="Arial" w:ascii="Arial" w:hAnsi="Arial"/>
              <w:color w:val="auto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  <w:color w:val="auto"/>
            </w:rPr>
            <w:instrText xml:space="preserve"> NUMPAGES </w:instrTex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separate"/>
          </w:r>
          <w:r>
            <w:rPr>
              <w:sz w:val="16"/>
              <w:szCs w:val="16"/>
              <w:rFonts w:cs="Arial" w:ascii="Arial" w:hAnsi="Arial"/>
              <w:color w:val="auto"/>
            </w:rPr>
            <w:t>5</w: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end"/>
          </w:r>
        </w:p>
      </w:tc>
    </w:tr>
  </w:tbl>
  <w:p>
    <w:pPr>
      <w:pStyle w:val="Footer"/>
      <w:tabs>
        <w:tab w:val="clear" w:pos="4419"/>
        <w:tab w:val="clear" w:pos="8838"/>
      </w:tabs>
      <w:rPr>
        <w:sz w:val="16"/>
        <w:szCs w:val="16"/>
      </w:rPr>
    </w:pPr>
    <w:r>
      <w:rPr>
        <w:sz w:val="16"/>
        <w:szCs w:val="16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68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3613"/>
      <w:gridCol w:w="3263"/>
      <w:gridCol w:w="1558"/>
      <w:gridCol w:w="1433"/>
    </w:tblGrid>
    <w:tr>
      <w:trPr>
        <w:trHeight w:val="300" w:hRule="atLeast"/>
        <w:cantSplit w:val="true"/>
      </w:trPr>
      <w:tc>
        <w:tcPr>
          <w:tcW w:w="36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>Emitido por: DTI</w:t>
          </w:r>
        </w:p>
      </w:tc>
      <w:tc>
        <w:tcPr>
          <w:tcW w:w="326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 xml:space="preserve">Aprovado por: </w:t>
          </w:r>
          <w:r>
            <w:rPr>
              <w:rFonts w:cs="Arial" w:ascii="Arial" w:hAnsi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419"/>
              <w:tab w:val="clear" w:pos="8838"/>
              <w:tab w:val="left" w:pos="1038" w:leader="none"/>
            </w:tabs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>Xx/xx/xx</w:t>
          </w:r>
        </w:p>
      </w:tc>
      <w:tc>
        <w:tcPr>
          <w:tcW w:w="143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419"/>
              <w:tab w:val="clear" w:pos="8838"/>
              <w:tab w:val="left" w:pos="1038" w:leader="none"/>
            </w:tabs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 xml:space="preserve">Página </w:t>
          </w:r>
          <w:r>
            <w:rPr>
              <w:rFonts w:cs="Arial" w:ascii="Arial" w:hAnsi="Arial"/>
              <w:color w:val="auto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  <w:color w:val="auto"/>
            </w:rPr>
            <w:instrText xml:space="preserve"> PAGE </w:instrTex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separate"/>
          </w:r>
          <w:r>
            <w:rPr>
              <w:sz w:val="16"/>
              <w:szCs w:val="16"/>
              <w:rFonts w:cs="Arial" w:ascii="Arial" w:hAnsi="Arial"/>
              <w:color w:val="auto"/>
            </w:rPr>
            <w:t>2</w: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end"/>
          </w:r>
          <w:r>
            <w:rPr>
              <w:rFonts w:cs="Arial" w:ascii="Arial" w:hAnsi="Arial"/>
              <w:color w:val="auto"/>
              <w:sz w:val="16"/>
              <w:szCs w:val="16"/>
            </w:rPr>
            <w:t xml:space="preserve"> de </w:t>
          </w:r>
          <w:r>
            <w:rPr>
              <w:rFonts w:cs="Arial" w:ascii="Arial" w:hAnsi="Arial"/>
              <w:color w:val="auto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  <w:color w:val="auto"/>
            </w:rPr>
            <w:instrText xml:space="preserve"> NUMPAGES </w:instrTex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separate"/>
          </w:r>
          <w:r>
            <w:rPr>
              <w:sz w:val="16"/>
              <w:szCs w:val="16"/>
              <w:rFonts w:cs="Arial" w:ascii="Arial" w:hAnsi="Arial"/>
              <w:color w:val="auto"/>
            </w:rPr>
            <w:t>5</w: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635" distL="0" distR="3810" simplePos="0" locked="0" layoutInCell="1" allowOverlap="1" relativeHeight="2" wp14:anchorId="5D77F209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7848600" cy="21590"/>
              <wp:effectExtent l="0" t="0" r="0" b="0"/>
              <wp:wrapNone/>
              <wp:docPr id="1" name="Rectangle 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48720" cy="2160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56" path="m0,0l-2147483645,0l-2147483645,-2147483646l0,-2147483646xe" fillcolor="#7fc349" stroked="f" o:allowincell="f" style="position:absolute;margin-left:-47.55pt;margin-top:-106pt;width:617.95pt;height:1.65pt;mso-wrap-style:none;v-text-anchor:middle" wp14:anchorId="5D77F209">
              <v:fill o:detectmouseclick="t" type="solid" color2="#803cb6"/>
              <v:stroke color="#3465a4" joinstyle="round" endcap="flat"/>
              <w10:wrap type="none"/>
            </v:rect>
          </w:pict>
        </mc:Fallback>
      </mc:AlternateContent>
    </w:r>
  </w:p>
  <w:p>
    <w:pPr>
      <w:pStyle w:val="Header"/>
      <w:rPr>
        <w:szCs w:val="24"/>
      </w:rPr>
    </w:pPr>
    <w:r>
      <w:rPr>
        <w:szCs w:val="24"/>
      </w:rPr>
    </w:r>
  </w:p>
  <w:tbl>
    <w:tblPr>
      <w:tblW w:w="9356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700"/>
      <w:gridCol w:w="7655"/>
    </w:tblGrid>
    <w:tr>
      <w:trPr>
        <w:trHeight w:val="709" w:hRule="atLeast"/>
      </w:trPr>
      <w:tc>
        <w:tcPr>
          <w:tcW w:w="1700" w:type="dxa"/>
          <w:tcBorders/>
        </w:tcPr>
        <w:p>
          <w:pPr>
            <w:pStyle w:val="Header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>
            <w:rPr/>
            <w:drawing>
              <wp:inline distT="0" distB="0" distL="0" distR="0">
                <wp:extent cx="714375" cy="666750"/>
                <wp:effectExtent l="0" t="0" r="0" b="0"/>
                <wp:docPr id="2" name="Imagem 3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3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tcBorders/>
          <w:vAlign w:val="center"/>
        </w:tcPr>
        <w:p>
          <w:pPr>
            <w:pStyle w:val="Title"/>
            <w:jc w:val="star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cs="Arial" w:ascii="Arial" w:hAnsi="Arial"/>
              <w:sz w:val="24"/>
              <w:szCs w:val="24"/>
              <w:lang w:val="pt-BR"/>
            </w:rPr>
            <w:t>Nome do projeto</w:t>
          </w:r>
        </w:p>
        <w:p>
          <w:pPr>
            <w:pStyle w:val="Normal"/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cs="Arial" w:ascii="Arial" w:hAnsi="Arial"/>
              <w:bCs/>
              <w:sz w:val="20"/>
              <w:szCs w:val="20"/>
              <w:lang w:eastAsia="en-US"/>
            </w:rPr>
            <w:t>Feature</w:t>
          </w:r>
          <w:r>
            <w:rPr>
              <w:rFonts w:cs="Arial" w:ascii="Arial" w:hAnsi="Arial"/>
              <w:sz w:val="20"/>
              <w:szCs w:val="20"/>
            </w:rPr>
            <w:t xml:space="preserve"> – Nome da feature</w:t>
          </w:r>
        </w:p>
      </w:tc>
    </w:tr>
  </w:tbl>
  <w:p>
    <w:pPr>
      <w:pStyle w:val="Header"/>
      <w:rPr/>
    </w:pPr>
    <w:r>
      <w:rPr/>
      <w:t xml:space="preserve">                                        </w:t>
    </w:r>
    <w:r>
      <w:rPr>
        <w:lang w:val="pt-BR"/>
      </w:rPr>
      <w:tab/>
    </w:r>
    <w:r>
      <w:rPr/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356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700"/>
      <w:gridCol w:w="7655"/>
    </w:tblGrid>
    <w:tr>
      <w:trPr>
        <w:trHeight w:val="709" w:hRule="atLeast"/>
      </w:trPr>
      <w:tc>
        <w:tcPr>
          <w:tcW w:w="1700" w:type="dxa"/>
          <w:tcBorders/>
        </w:tcPr>
        <w:p>
          <w:pPr>
            <w:pStyle w:val="Header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>
            <w:rPr/>
            <w:drawing>
              <wp:inline distT="0" distB="0" distL="0" distR="0">
                <wp:extent cx="714375" cy="666750"/>
                <wp:effectExtent l="0" t="0" r="0" b="0"/>
                <wp:docPr id="3" name="Imagem 63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63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tcBorders/>
          <w:vAlign w:val="center"/>
        </w:tcPr>
        <w:p>
          <w:pPr>
            <w:pStyle w:val="Header"/>
            <w:tabs>
              <w:tab w:val="clear" w:pos="4419"/>
              <w:tab w:val="clear" w:pos="8838"/>
            </w:tabs>
            <w:ind w:start="1276"/>
            <w:jc w:val="center"/>
            <w:rPr>
              <w:rFonts w:ascii="Arial" w:hAnsi="Arial" w:cs="Arial"/>
              <w:b/>
              <w:lang w:val="pt-BR"/>
            </w:rPr>
          </w:pPr>
          <w:r>
            <w:rPr>
              <w:rFonts w:cs="Arial" w:ascii="Arial" w:hAnsi="Arial"/>
              <w:b/>
            </w:rPr>
            <w:t>Tribunal de Contas do Estado de Minas Gerais</w:t>
          </w:r>
        </w:p>
        <w:p>
          <w:pPr>
            <w:pStyle w:val="Header"/>
            <w:tabs>
              <w:tab w:val="clear" w:pos="4419"/>
              <w:tab w:val="clear" w:pos="8838"/>
            </w:tabs>
            <w:ind w:start="1276"/>
            <w:jc w:val="center"/>
            <w:rPr>
              <w:lang w:val="pt-BR"/>
            </w:rPr>
          </w:pPr>
          <w:r>
            <w:rPr>
              <w:rFonts w:cs="Arial" w:ascii="Arial" w:hAnsi="Arial"/>
            </w:rPr>
            <w:t>DIRETORIA DE TECNOLOGIA DA INFORMAÇÃO</w:t>
          </w:r>
        </w:p>
      </w:tc>
    </w:tr>
  </w:tbl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635" distL="0" distR="3810" simplePos="0" locked="0" layoutInCell="1" allowOverlap="1" relativeHeight="11" wp14:anchorId="5D77F209">
              <wp:simplePos x="0" y="0"/>
              <wp:positionH relativeFrom="column">
                <wp:posOffset>-603885</wp:posOffset>
              </wp:positionH>
              <wp:positionV relativeFrom="paragraph">
                <wp:posOffset>-1346200</wp:posOffset>
              </wp:positionV>
              <wp:extent cx="7848600" cy="21590"/>
              <wp:effectExtent l="0" t="0" r="0" b="0"/>
              <wp:wrapNone/>
              <wp:docPr id="5" name="Rectangl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48720" cy="2160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1" path="m0,0l-2147483645,0l-2147483645,-2147483646l0,-2147483646xe" fillcolor="#7fc349" stroked="f" o:allowincell="f" style="position:absolute;margin-left:-47.55pt;margin-top:-106pt;width:617.95pt;height:1.65pt;mso-wrap-style:none;v-text-anchor:middle" wp14:anchorId="5D77F209">
              <v:fill o:detectmouseclick="t" type="solid" color2="#803cb6"/>
              <v:stroke color="#3465a4" joinstyle="round" endcap="flat"/>
              <w10:wrap type="none"/>
            </v:rect>
          </w:pict>
        </mc:Fallback>
      </mc:AlternateContent>
    </w:r>
  </w:p>
  <w:p>
    <w:pPr>
      <w:pStyle w:val="Header"/>
      <w:rPr>
        <w:szCs w:val="24"/>
      </w:rPr>
    </w:pPr>
    <w:r>
      <w:rPr>
        <w:szCs w:val="24"/>
      </w:rPr>
    </w:r>
  </w:p>
  <w:tbl>
    <w:tblPr>
      <w:tblW w:w="9356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700"/>
      <w:gridCol w:w="7655"/>
    </w:tblGrid>
    <w:tr>
      <w:trPr>
        <w:trHeight w:val="709" w:hRule="atLeast"/>
      </w:trPr>
      <w:tc>
        <w:tcPr>
          <w:tcW w:w="1700" w:type="dxa"/>
          <w:tcBorders/>
        </w:tcPr>
        <w:p>
          <w:pPr>
            <w:pStyle w:val="Header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>
            <w:rPr/>
            <w:drawing>
              <wp:inline distT="0" distB="0" distL="0" distR="0">
                <wp:extent cx="714375" cy="666750"/>
                <wp:effectExtent l="0" t="0" r="0" b="0"/>
                <wp:docPr id="6" name="Imagem 3 Copy 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m 3 Copy 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tcBorders/>
          <w:vAlign w:val="center"/>
        </w:tcPr>
        <w:p>
          <w:pPr>
            <w:pStyle w:val="Title"/>
            <w:jc w:val="star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cs="Arial" w:ascii="Arial" w:hAnsi="Arial"/>
              <w:sz w:val="24"/>
              <w:szCs w:val="24"/>
              <w:lang w:val="pt-BR"/>
            </w:rPr>
            <w:t>Nome do projeto</w:t>
          </w:r>
        </w:p>
        <w:p>
          <w:pPr>
            <w:pStyle w:val="Normal"/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cs="Arial" w:ascii="Arial" w:hAnsi="Arial"/>
              <w:bCs/>
              <w:sz w:val="20"/>
              <w:szCs w:val="20"/>
              <w:lang w:eastAsia="en-US"/>
            </w:rPr>
            <w:t>Feature</w:t>
          </w:r>
          <w:r>
            <w:rPr>
              <w:rFonts w:cs="Arial" w:ascii="Arial" w:hAnsi="Arial"/>
              <w:sz w:val="20"/>
              <w:szCs w:val="20"/>
            </w:rPr>
            <w:t xml:space="preserve"> – Nome da feature</w:t>
          </w:r>
        </w:p>
      </w:tc>
    </w:tr>
  </w:tbl>
  <w:p>
    <w:pPr>
      <w:pStyle w:val="Header"/>
      <w:rPr/>
    </w:pPr>
    <w:r>
      <w:rPr/>
      <w:t xml:space="preserve">                                        </w:t>
    </w:r>
    <w:r>
      <w:rPr>
        <w:lang w:val="pt-BR"/>
      </w:rPr>
      <w:tab/>
    </w:r>
    <w:r>
      <w:rPr/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356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700"/>
      <w:gridCol w:w="7655"/>
    </w:tblGrid>
    <w:tr>
      <w:trPr>
        <w:trHeight w:val="709" w:hRule="atLeast"/>
      </w:trPr>
      <w:tc>
        <w:tcPr>
          <w:tcW w:w="1700" w:type="dxa"/>
          <w:tcBorders/>
        </w:tcPr>
        <w:p>
          <w:pPr>
            <w:pStyle w:val="Header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>
            <w:rPr/>
            <w:drawing>
              <wp:inline distT="0" distB="0" distL="0" distR="0">
                <wp:extent cx="714375" cy="666750"/>
                <wp:effectExtent l="0" t="0" r="0" b="0"/>
                <wp:docPr id="7" name="Imagem 65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5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tcBorders/>
          <w:vAlign w:val="center"/>
        </w:tcPr>
        <w:p>
          <w:pPr>
            <w:pStyle w:val="Title"/>
            <w:jc w:val="star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cs="Arial" w:ascii="Arial" w:hAnsi="Arial"/>
              <w:sz w:val="24"/>
              <w:szCs w:val="24"/>
              <w:lang w:val="pt-BR"/>
            </w:rPr>
            <w:t>Nome do projeto</w:t>
          </w:r>
        </w:p>
        <w:p>
          <w:pPr>
            <w:pStyle w:val="Normal"/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cs="Arial" w:ascii="Arial" w:hAnsi="Arial"/>
              <w:bCs/>
              <w:sz w:val="20"/>
              <w:szCs w:val="20"/>
              <w:lang w:eastAsia="en-US"/>
            </w:rPr>
            <w:t>Feature</w:t>
          </w:r>
          <w:r>
            <w:rPr>
              <w:rFonts w:cs="Arial" w:ascii="Arial" w:hAnsi="Arial"/>
              <w:sz w:val="20"/>
              <w:szCs w:val="20"/>
            </w:rPr>
            <w:t xml:space="preserve"> – Nome da feature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1146"/>
        </w:tabs>
        <w:ind w:start="1146" w:hanging="720"/>
      </w:pPr>
      <w:rPr/>
    </w:lvl>
    <w:lvl w:ilvl="2">
      <w:start w:val="1"/>
      <w:isLgl/>
      <w:numFmt w:val="decimal"/>
      <w:lvlText w:val="%1.%2.%3."/>
      <w:lvlJc w:val="start"/>
      <w:pPr>
        <w:tabs>
          <w:tab w:val="num" w:pos="1440"/>
        </w:tabs>
        <w:ind w:start="144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2160"/>
        </w:tabs>
        <w:ind w:start="2160" w:hanging="108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2880"/>
        </w:tabs>
        <w:ind w:start="252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3240"/>
        </w:tabs>
        <w:ind w:start="3240" w:hanging="144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3600"/>
        </w:tabs>
        <w:ind w:start="36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4320"/>
        </w:tabs>
        <w:ind w:start="4320" w:hanging="180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5040"/>
        </w:tabs>
        <w:ind w:start="5040" w:hanging="21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644"/>
        </w:tabs>
        <w:ind w:start="644" w:hanging="360"/>
      </w:pPr>
      <w:rPr/>
    </w:lvl>
    <w:lvl w:ilvl="1">
      <w:start w:val="1"/>
      <w:isLgl/>
      <w:numFmt w:val="decimal"/>
      <w:lvlText w:val="%1.%2"/>
      <w:lvlJc w:val="start"/>
      <w:pPr>
        <w:tabs>
          <w:tab w:val="num" w:pos="993"/>
        </w:tabs>
        <w:ind w:start="1333" w:hanging="340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1080"/>
        </w:tabs>
        <w:ind w:start="1080" w:hanging="720"/>
      </w:pPr>
      <w:rPr>
        <w:b/>
        <w:rFonts w:ascii="Courier New" w:hAnsi="Courier New" w:cs="Courier New"/>
      </w:rPr>
    </w:lvl>
    <w:lvl w:ilvl="3">
      <w:start w:val="1"/>
      <w:isLgl/>
      <w:numFmt w:val="decimal"/>
      <w:lvlText w:val="%1.%2.%3.%4"/>
      <w:lvlJc w:val="start"/>
      <w:pPr>
        <w:tabs>
          <w:tab w:val="num" w:pos="1080"/>
        </w:tabs>
        <w:ind w:start="1080" w:hanging="72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1440"/>
        </w:tabs>
        <w:ind w:start="1440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1440"/>
        </w:tabs>
        <w:ind w:start="1440" w:hanging="108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1800"/>
        </w:tabs>
        <w:ind w:start="1800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1800"/>
        </w:tabs>
        <w:ind w:start="1800" w:hanging="144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2160"/>
        </w:tabs>
        <w:ind w:start="2160" w:hanging="180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Tahoma" w:hAnsi="Tahoma" w:cs="Tahoma" w:hint="default"/>
      </w:rPr>
    </w:lvl>
    <w:lvl w:ilvl="1">
      <w:start w:val="1"/>
      <w:numFmt w:val="bullet"/>
      <w:lvlText w:val="o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Tahoma" w:hAnsi="Tahoma" w:cs="Tahoma" w:hint="default"/>
      </w:rPr>
    </w:lvl>
    <w:lvl w:ilvl="4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5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Courier New" w:hAnsi="Courier New" w:cs="Courier New" w:hint="default"/>
      </w:rPr>
    </w:lvl>
    <w:lvl w:ilvl="6">
      <w:start w:val="1"/>
      <w:numFmt w:val="bullet"/>
      <w:lvlText w:val=""/>
      <w:lvlJc w:val="start"/>
      <w:pPr>
        <w:tabs>
          <w:tab w:val="num" w:pos="4680"/>
        </w:tabs>
        <w:ind w:start="4680" w:hanging="360"/>
      </w:pPr>
      <w:rPr>
        <w:rFonts w:ascii="Tahoma" w:hAnsi="Tahoma" w:cs="Tahoma" w:hint="default"/>
      </w:rPr>
    </w:lvl>
    <w:lvl w:ilvl="7">
      <w:start w:val="1"/>
      <w:numFmt w:val="bullet"/>
      <w:lvlText w:val="o"/>
      <w:lvlJc w:val="start"/>
      <w:pPr>
        <w:tabs>
          <w:tab w:val="num" w:pos="5400"/>
        </w:tabs>
        <w:ind w:start="5400" w:hanging="360"/>
      </w:pPr>
      <w:rPr>
        <w:rFonts w:ascii="Symbol" w:hAnsi="Symbol" w:cs="Symbol" w:hint="default"/>
      </w:rPr>
    </w:lvl>
    <w:lvl w:ilvl="8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Courier New" w:hAnsi="Courier New" w:cs="Courier New" w:hint="default"/>
      </w:rPr>
    </w:lvl>
  </w:abstractNum>
  <w:abstractNum w:abstractNumId="4">
    <w:lvl w:ilvl="0">
      <w:start w:val="2"/>
      <w:numFmt w:val="decimal"/>
      <w:lvlText w:val="%1"/>
      <w:lvlJc w:val="start"/>
      <w:pPr>
        <w:tabs>
          <w:tab w:val="num" w:pos="360"/>
        </w:tabs>
        <w:ind w:start="360" w:hanging="360"/>
      </w:pPr>
      <w:rPr>
        <w:sz w:val="24"/>
        <w:rFonts w:ascii="Cambria Math" w:hAnsi="Cambria Math" w:cs="Cambria Math"/>
      </w:rPr>
    </w:lvl>
    <w:lvl w:ilvl="1">
      <w:start w:val="4"/>
      <w:numFmt w:val="decimal"/>
      <w:lvlText w:val="%1.%2"/>
      <w:lvlJc w:val="start"/>
      <w:pPr>
        <w:tabs>
          <w:tab w:val="num" w:pos="1320"/>
        </w:tabs>
        <w:ind w:start="1320" w:hanging="360"/>
      </w:pPr>
      <w:rPr>
        <w:sz w:val="26"/>
        <w:b/>
        <w:szCs w:val="26"/>
        <w:rFonts w:ascii="Courier New" w:hAnsi="Courier New" w:cs="Courier New"/>
      </w:rPr>
    </w:lvl>
    <w:lvl w:ilvl="2">
      <w:start w:val="1"/>
      <w:numFmt w:val="decimal"/>
      <w:lvlText w:val="%1.%2.%3"/>
      <w:lvlJc w:val="start"/>
      <w:pPr>
        <w:tabs>
          <w:tab w:val="num" w:pos="2640"/>
        </w:tabs>
        <w:ind w:start="2640" w:hanging="720"/>
      </w:pPr>
      <w:rPr>
        <w:sz w:val="24"/>
        <w:rFonts w:ascii="Cambria Math" w:hAnsi="Cambria Math" w:cs="Cambria Math"/>
      </w:rPr>
    </w:lvl>
    <w:lvl w:ilvl="3">
      <w:start w:val="1"/>
      <w:numFmt w:val="decimal"/>
      <w:lvlText w:val="%1.%2.%3.%4"/>
      <w:lvlJc w:val="start"/>
      <w:pPr>
        <w:tabs>
          <w:tab w:val="num" w:pos="3600"/>
        </w:tabs>
        <w:ind w:start="3600" w:hanging="720"/>
      </w:pPr>
      <w:rPr>
        <w:sz w:val="24"/>
        <w:rFonts w:ascii="Cambria Math" w:hAnsi="Cambria Math" w:cs="Cambria Math"/>
      </w:rPr>
    </w:lvl>
    <w:lvl w:ilvl="4">
      <w:start w:val="1"/>
      <w:numFmt w:val="decimal"/>
      <w:lvlText w:val="%1.%2.%3.%4.%5"/>
      <w:lvlJc w:val="start"/>
      <w:pPr>
        <w:tabs>
          <w:tab w:val="num" w:pos="4920"/>
        </w:tabs>
        <w:ind w:start="4920" w:hanging="1080"/>
      </w:pPr>
      <w:rPr>
        <w:sz w:val="24"/>
        <w:rFonts w:ascii="Cambria Math" w:hAnsi="Cambria Math" w:cs="Cambria Math"/>
      </w:rPr>
    </w:lvl>
    <w:lvl w:ilvl="5">
      <w:start w:val="1"/>
      <w:numFmt w:val="decimal"/>
      <w:lvlText w:val="%1.%2.%3.%4.%5.%6"/>
      <w:lvlJc w:val="start"/>
      <w:pPr>
        <w:tabs>
          <w:tab w:val="num" w:pos="5880"/>
        </w:tabs>
        <w:ind w:start="5880" w:hanging="1080"/>
      </w:pPr>
      <w:rPr>
        <w:sz w:val="24"/>
        <w:rFonts w:ascii="Cambria Math" w:hAnsi="Cambria Math" w:cs="Cambria Math"/>
      </w:rPr>
    </w:lvl>
    <w:lvl w:ilvl="6">
      <w:start w:val="1"/>
      <w:numFmt w:val="decimal"/>
      <w:lvlText w:val="%1.%2.%3.%4.%5.%6.%7"/>
      <w:lvlJc w:val="start"/>
      <w:pPr>
        <w:tabs>
          <w:tab w:val="num" w:pos="7200"/>
        </w:tabs>
        <w:ind w:start="7200" w:hanging="1440"/>
      </w:pPr>
      <w:rPr>
        <w:sz w:val="24"/>
        <w:rFonts w:ascii="Cambria Math" w:hAnsi="Cambria Math" w:cs="Cambria Math"/>
      </w:rPr>
    </w:lvl>
    <w:lvl w:ilvl="7">
      <w:start w:val="1"/>
      <w:numFmt w:val="decimal"/>
      <w:lvlText w:val="%1.%2.%3.%4.%5.%6.%7.%8"/>
      <w:lvlJc w:val="start"/>
      <w:pPr>
        <w:tabs>
          <w:tab w:val="num" w:pos="8160"/>
        </w:tabs>
        <w:ind w:start="8160" w:hanging="1440"/>
      </w:pPr>
      <w:rPr>
        <w:sz w:val="24"/>
        <w:rFonts w:ascii="Cambria Math" w:hAnsi="Cambria Math" w:cs="Cambria Math"/>
      </w:rPr>
    </w:lvl>
    <w:lvl w:ilvl="8">
      <w:start w:val="1"/>
      <w:numFmt w:val="decimal"/>
      <w:lvlText w:val="%1.%2.%3.%4.%5.%6.%7.%8.%9"/>
      <w:lvlJc w:val="start"/>
      <w:pPr>
        <w:tabs>
          <w:tab w:val="num" w:pos="9480"/>
        </w:tabs>
        <w:ind w:start="9480" w:hanging="1800"/>
      </w:pPr>
      <w:rPr>
        <w:sz w:val="24"/>
        <w:rFonts w:ascii="Cambria Math" w:hAnsi="Cambria Math" w:cs="Cambria Math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644"/>
        </w:tabs>
        <w:ind w:start="644" w:hanging="360"/>
      </w:pPr>
      <w:rPr/>
    </w:lvl>
    <w:lvl w:ilvl="1">
      <w:start w:val="1"/>
      <w:isLgl/>
      <w:numFmt w:val="decimal"/>
      <w:lvlText w:val="%1.%2"/>
      <w:lvlJc w:val="start"/>
      <w:pPr>
        <w:tabs>
          <w:tab w:val="num" w:pos="993"/>
        </w:tabs>
        <w:ind w:start="1333" w:hanging="340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1080"/>
        </w:tabs>
        <w:ind w:start="1080" w:hanging="720"/>
      </w:pPr>
      <w:rPr>
        <w:b/>
        <w:rFonts w:ascii="Courier New" w:hAnsi="Courier New" w:cs="Courier New"/>
      </w:rPr>
    </w:lvl>
    <w:lvl w:ilvl="3">
      <w:start w:val="1"/>
      <w:isLgl/>
      <w:numFmt w:val="decimal"/>
      <w:lvlText w:val="%1.%2.%3.%4"/>
      <w:lvlJc w:val="start"/>
      <w:pPr>
        <w:tabs>
          <w:tab w:val="num" w:pos="1080"/>
        </w:tabs>
        <w:ind w:start="1080" w:hanging="72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1440"/>
        </w:tabs>
        <w:ind w:start="1440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1440"/>
        </w:tabs>
        <w:ind w:start="1440" w:hanging="108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1800"/>
        </w:tabs>
        <w:ind w:start="1800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1800"/>
        </w:tabs>
        <w:ind w:start="1800" w:hanging="144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2160"/>
        </w:tabs>
        <w:ind w:start="2160" w:hanging="180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50"/>
  <w:gutterAtTop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 Math" w:hAnsi="Cambria Math" w:eastAsia="Cambria Math" w:cs="Cambria Math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0c40"/>
    <w:pPr>
      <w:widowControl/>
      <w:bidi w:val="0"/>
      <w:spacing w:before="0" w:after="0"/>
      <w:jc w:val="start"/>
    </w:pPr>
    <w:rPr>
      <w:rFonts w:ascii="Cambria Math" w:hAnsi="Cambria Math" w:eastAsia="Cambria Math" w:cs="Cambria Math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spacing w:before="240" w:after="60"/>
      <w:outlineLvl w:val="0"/>
    </w:pPr>
    <w:rPr>
      <w:rFonts w:ascii="Courier New" w:hAnsi="Courier New" w:cs="Courier New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Courier New" w:hAnsi="Courier New" w:cs="Courier New"/>
      <w:b/>
      <w:bCs/>
      <w:i/>
      <w:iCs/>
      <w:sz w:val="28"/>
      <w:szCs w:val="28"/>
    </w:rPr>
  </w:style>
  <w:style w:type="paragraph" w:styleId="Heading3">
    <w:name w:val="Heading 3"/>
    <w:basedOn w:val="Heading1"/>
    <w:next w:val="Normal"/>
    <w:qFormat/>
    <w:rsid w:val="003b2af5"/>
    <w:pPr>
      <w:numPr>
        <w:ilvl w:val="1"/>
        <w:numId w:val="2"/>
      </w:numPr>
      <w:tabs>
        <w:tab w:val="clear" w:pos="709"/>
        <w:tab w:val="left" w:pos="567" w:leader="none"/>
      </w:tabs>
      <w:spacing w:before="240" w:after="240"/>
      <w:ind w:hanging="0" w:start="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tabs>
        <w:tab w:val="clear" w:pos="709"/>
        <w:tab w:val="center" w:pos="914" w:leader="none"/>
        <w:tab w:val="left" w:pos="1008" w:leader="none"/>
      </w:tabs>
      <w:ind w:hanging="1008" w:start="1008"/>
      <w:jc w:val="center"/>
      <w:outlineLvl w:val="4"/>
    </w:pPr>
    <w:rPr>
      <w:rFonts w:ascii="Cascadia Mono SemiBold" w:hAnsi="Cascadia Mono SemiBold"/>
      <w:b/>
      <w:color w:val="000000"/>
      <w:sz w:val="16"/>
      <w:szCs w:val="2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Ttulo7Char"/>
    <w:qFormat/>
    <w:pPr>
      <w:widowControl w:val="false"/>
      <w:tabs>
        <w:tab w:val="clear" w:pos="709"/>
        <w:tab w:val="left" w:pos="1296" w:leader="none"/>
      </w:tabs>
      <w:spacing w:lineRule="atLeast" w:line="240" w:before="240" w:after="60"/>
      <w:ind w:hanging="1296" w:start="1296"/>
      <w:outlineLvl w:val="6"/>
    </w:pPr>
    <w:rPr>
      <w:sz w:val="20"/>
      <w:szCs w:val="20"/>
      <w:lang w:val="en-US" w:eastAsia="en-US"/>
    </w:rPr>
  </w:style>
  <w:style w:type="paragraph" w:styleId="Heading8">
    <w:name w:val="Heading 8"/>
    <w:basedOn w:val="Normal"/>
    <w:next w:val="Normal"/>
    <w:qFormat/>
    <w:pPr>
      <w:widowControl w:val="false"/>
      <w:tabs>
        <w:tab w:val="clear" w:pos="709"/>
        <w:tab w:val="left" w:pos="1440" w:leader="none"/>
      </w:tabs>
      <w:spacing w:lineRule="atLeast" w:line="240" w:before="240" w:after="60"/>
      <w:ind w:hanging="1440" w:start="1440"/>
      <w:outlineLvl w:val="7"/>
    </w:pPr>
    <w:rPr>
      <w:i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qFormat/>
    <w:pPr>
      <w:widowControl w:val="false"/>
      <w:tabs>
        <w:tab w:val="clear" w:pos="709"/>
        <w:tab w:val="left" w:pos="1584" w:leader="none"/>
      </w:tabs>
      <w:spacing w:lineRule="atLeast" w:line="240" w:before="240" w:after="60"/>
      <w:ind w:hanging="1584" w:start="1584"/>
      <w:outlineLvl w:val="8"/>
    </w:pPr>
    <w:rPr>
      <w:b/>
      <w:i/>
      <w:sz w:val="18"/>
      <w:szCs w:val="20"/>
      <w:lang w:val="en-US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Hyperlink">
    <w:name w:val="Hyperlink"/>
    <w:uiPriority w:val="99"/>
    <w:rPr>
      <w:color w:val="0000FF"/>
      <w:u w:val="single"/>
    </w:rPr>
  </w:style>
  <w:style w:type="character" w:styleId="CabealhoChar" w:customStyle="1">
    <w:name w:val="Cabeçalho Char"/>
    <w:link w:val="Header"/>
    <w:uiPriority w:val="99"/>
    <w:qFormat/>
    <w:rsid w:val="000c44f9"/>
    <w:rPr>
      <w:rFonts w:ascii="Courier New" w:hAnsi="Courier New"/>
      <w:color w:val="000000"/>
      <w:sz w:val="24"/>
    </w:rPr>
  </w:style>
  <w:style w:type="character" w:styleId="annotationreference">
    <w:name w:val="annotation reference"/>
    <w:semiHidden/>
    <w:qFormat/>
    <w:rPr>
      <w:sz w:val="16"/>
      <w:szCs w:val="16"/>
    </w:rPr>
  </w:style>
  <w:style w:type="character" w:styleId="FollowedHyperlink">
    <w:name w:val="FollowedHyperlink"/>
    <w:semiHidden/>
    <w:rPr>
      <w:color w:val="800080"/>
      <w:u w:val="single"/>
    </w:rPr>
  </w:style>
  <w:style w:type="character" w:styleId="CorpodetextoChar" w:customStyle="1">
    <w:name w:val="Corpo de texto Char"/>
    <w:qFormat/>
    <w:rPr>
      <w:sz w:val="24"/>
      <w:lang w:val="en-US" w:eastAsia="en-US" w:bidi="ar-SA"/>
    </w:rPr>
  </w:style>
  <w:style w:type="character" w:styleId="Ttulo3Char" w:customStyle="1">
    <w:name w:val="Título 3 Char"/>
    <w:qFormat/>
    <w:rPr>
      <w:rFonts w:ascii="Courier New" w:hAnsi="Courier New" w:cs="Courier New"/>
      <w:b/>
      <w:bCs/>
      <w:sz w:val="26"/>
      <w:szCs w:val="26"/>
      <w:lang w:val="pt-BR" w:eastAsia="pt-BR" w:bidi="ar-SA"/>
    </w:rPr>
  </w:style>
  <w:style w:type="character" w:styleId="Ttulo2Char" w:customStyle="1">
    <w:name w:val="Título 2 Char"/>
    <w:qFormat/>
    <w:rPr>
      <w:rFonts w:ascii="Courier New" w:hAnsi="Courier New" w:cs="Courier New"/>
      <w:b/>
      <w:bCs/>
      <w:i/>
      <w:iCs/>
      <w:sz w:val="28"/>
      <w:szCs w:val="28"/>
      <w:lang w:val="pt-BR" w:eastAsia="pt-BR" w:bidi="ar-SA"/>
    </w:rPr>
  </w:style>
  <w:style w:type="character" w:styleId="Ttulo313ptChar" w:customStyle="1">
    <w:name w:val="Título 3 + 13 pt Char"/>
    <w:qFormat/>
    <w:rPr>
      <w:rFonts w:ascii="Courier New" w:hAnsi="Courier New" w:cs="Courier New"/>
      <w:b/>
      <w:bCs/>
      <w:i/>
      <w:iCs/>
      <w:sz w:val="26"/>
      <w:szCs w:val="26"/>
      <w:lang w:val="pt-BR" w:eastAsia="pt-BR" w:bidi="ar-SA"/>
    </w:rPr>
  </w:style>
  <w:style w:type="character" w:styleId="Ttulo5Char" w:customStyle="1">
    <w:name w:val="Título 5 Char"/>
    <w:qFormat/>
    <w:rPr>
      <w:rFonts w:ascii="Cascadia Mono SemiBold" w:hAnsi="Cascadia Mono SemiBold"/>
      <w:b/>
      <w:color w:val="000000"/>
      <w:sz w:val="16"/>
      <w:lang w:val="pt-BR" w:eastAsia="pt-BR" w:bidi="ar-SA"/>
    </w:rPr>
  </w:style>
  <w:style w:type="character" w:styleId="CitaoChar" w:customStyle="1">
    <w:name w:val="Citação Char"/>
    <w:link w:val="Quote"/>
    <w:uiPriority w:val="29"/>
    <w:qFormat/>
    <w:rsid w:val="006d4219"/>
    <w:rPr>
      <w:rFonts w:ascii="Wingdings" w:hAnsi="Wingdings" w:eastAsia="Wingdings" w:cs="Cambria Math"/>
      <w:i/>
      <w:sz w:val="22"/>
      <w:szCs w:val="22"/>
      <w:lang w:eastAsia="en-US"/>
    </w:rPr>
  </w:style>
  <w:style w:type="character" w:styleId="FillinginstructionChar" w:customStyle="1">
    <w:name w:val="Filling instruction Char"/>
    <w:link w:val="Fillinginstruction"/>
    <w:qFormat/>
    <w:rsid w:val="00174a2c"/>
    <w:rPr>
      <w:rFonts w:ascii="Courier New" w:hAnsi="Courier New"/>
      <w:i/>
      <w:color w:val="0000FF"/>
      <w:lang w:val="x-none"/>
    </w:rPr>
  </w:style>
  <w:style w:type="character" w:styleId="BookTitle">
    <w:name w:val="Book Title"/>
    <w:uiPriority w:val="33"/>
    <w:qFormat/>
    <w:rsid w:val="00174a2c"/>
    <w:rPr>
      <w:b/>
      <w:bCs/>
      <w:smallCaps/>
      <w:spacing w:val="5"/>
    </w:rPr>
  </w:style>
  <w:style w:type="character" w:styleId="Strong">
    <w:name w:val="Strong"/>
    <w:uiPriority w:val="22"/>
    <w:qFormat/>
    <w:rsid w:val="00174a2c"/>
    <w:rPr>
      <w:b/>
      <w:bCs/>
    </w:rPr>
  </w:style>
  <w:style w:type="character" w:styleId="TextodebaloChar" w:customStyle="1">
    <w:name w:val="Texto de balão Char"/>
    <w:link w:val="BalloonText"/>
    <w:qFormat/>
    <w:rsid w:val="00905d5e"/>
    <w:rPr>
      <w:rFonts w:ascii="Cascadia Mono SemiBold" w:hAnsi="Cascadia Mono SemiBold" w:cs="Cascadia Mono SemiBold"/>
      <w:sz w:val="16"/>
      <w:szCs w:val="16"/>
    </w:rPr>
  </w:style>
  <w:style w:type="character" w:styleId="TextodenotadefimChar" w:customStyle="1">
    <w:name w:val="Texto de nota de fim Char"/>
    <w:basedOn w:val="DefaultParagraphFont"/>
    <w:link w:val="EndnoteText"/>
    <w:uiPriority w:val="99"/>
    <w:semiHidden/>
    <w:qFormat/>
    <w:rsid w:val="005d4a58"/>
    <w:rPr/>
  </w:style>
  <w:style w:type="character" w:styleId="EndnoteCharacters">
    <w:name w:val="Endnote Characters"/>
    <w:uiPriority w:val="99"/>
    <w:semiHidden/>
    <w:unhideWhenUsed/>
    <w:qFormat/>
    <w:rsid w:val="005d4a58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tulo1Char" w:customStyle="1">
    <w:name w:val="Título 1 Char"/>
    <w:link w:val="Heading1"/>
    <w:qFormat/>
    <w:rsid w:val="00aa36c4"/>
    <w:rPr>
      <w:rFonts w:ascii="Courier New" w:hAnsi="Courier New" w:cs="Courier New"/>
      <w:b/>
      <w:bCs/>
      <w:kern w:val="2"/>
      <w:sz w:val="32"/>
      <w:szCs w:val="32"/>
    </w:rPr>
  </w:style>
  <w:style w:type="character" w:styleId="RodapChar" w:customStyle="1">
    <w:name w:val="Rodapé Char"/>
    <w:link w:val="Footer"/>
    <w:qFormat/>
    <w:rsid w:val="005c1931"/>
    <w:rPr>
      <w:rFonts w:ascii="Courier New" w:hAnsi="Courier New"/>
      <w:color w:val="000000"/>
      <w:sz w:val="24"/>
    </w:rPr>
  </w:style>
  <w:style w:type="character" w:styleId="TtuloChar" w:customStyle="1">
    <w:name w:val="Título Char"/>
    <w:link w:val="Title"/>
    <w:qFormat/>
    <w:rsid w:val="005c1931"/>
    <w:rPr>
      <w:rFonts w:ascii="Courier New" w:hAnsi="Courier New"/>
      <w:b/>
      <w:sz w:val="36"/>
      <w:lang w:val="en-US" w:eastAsia="en-US"/>
    </w:rPr>
  </w:style>
  <w:style w:type="character" w:styleId="Ttulo7Char" w:customStyle="1">
    <w:name w:val="Título 7 Char"/>
    <w:link w:val="Heading7"/>
    <w:qFormat/>
    <w:rsid w:val="00ba742d"/>
    <w:rPr>
      <w:lang w:val="en-US" w:eastAsia="en-US"/>
    </w:rPr>
  </w:style>
  <w:style w:type="character" w:styleId="TextodecomentrioChar" w:customStyle="1">
    <w:name w:val="Texto de comentário Char"/>
    <w:link w:val="AnnotationText"/>
    <w:semiHidden/>
    <w:qFormat/>
    <w:rsid w:val="00f320ce"/>
    <w:rPr>
      <w:lang w:eastAsia="en-US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f320ce"/>
    <w:rPr>
      <w:b/>
      <w:bCs/>
      <w:lang w:eastAsia="en-US"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qFormat/>
    <w:rsid w:val="00136fc5"/>
    <w:rPr>
      <w:rFonts w:ascii="Courier New" w:hAnsi="Courier New" w:eastAsia="Times New Roman" w:cs="Courier New"/>
    </w:rPr>
  </w:style>
  <w:style w:type="character" w:styleId="HTMLCode">
    <w:name w:val="HTML Code"/>
    <w:basedOn w:val="DefaultParagraphFont"/>
    <w:uiPriority w:val="99"/>
    <w:semiHidden/>
    <w:unhideWhenUsed/>
    <w:qFormat/>
    <w:rsid w:val="00136fc5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semiHidden/>
    <w:pPr>
      <w:overflowPunct w:val="true"/>
      <w:spacing w:before="0" w:after="240"/>
      <w:ind w:start="720"/>
      <w:textAlignment w:val="baseline"/>
    </w:pPr>
    <w:rPr>
      <w:szCs w:val="20"/>
      <w:lang w:val="en-US" w:eastAsia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qFormat/>
    <w:pPr>
      <w:widowControl w:val="false"/>
      <w:jc w:val="center"/>
    </w:pPr>
    <w:rPr>
      <w:rFonts w:ascii="Courier New" w:hAnsi="Courier New"/>
      <w:b/>
      <w:sz w:val="36"/>
      <w:szCs w:val="20"/>
      <w:lang w:val="en-US" w:eastAsia="en-US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09"/>
        <w:tab w:val="left" w:pos="480" w:leader="none"/>
        <w:tab w:val="right" w:pos="9600" w:leader="dot"/>
      </w:tabs>
      <w:spacing w:before="120" w:after="0"/>
    </w:pPr>
    <w:rPr>
      <w:rFonts w:ascii="Courier New" w:hAnsi="Courier New"/>
      <w:b/>
      <w:bCs/>
      <w:iCs/>
      <w:color w:val="000000"/>
      <w:szCs w:val="28"/>
    </w:rPr>
  </w:style>
  <w:style w:type="paragraph" w:styleId="TOC2">
    <w:name w:val="TOC 2"/>
    <w:basedOn w:val="Normal"/>
    <w:next w:val="Normal"/>
    <w:autoRedefine/>
    <w:uiPriority w:val="39"/>
    <w:rsid w:val="00be37e5"/>
    <w:pPr>
      <w:tabs>
        <w:tab w:val="clear" w:pos="709"/>
        <w:tab w:val="left" w:pos="851" w:leader="none"/>
        <w:tab w:val="right" w:pos="9563" w:leader="dot"/>
      </w:tabs>
      <w:spacing w:before="120" w:after="0"/>
      <w:ind w:start="480" w:end="-661"/>
    </w:pPr>
    <w:rPr>
      <w:b/>
      <w:bCs/>
      <w:color w:val="000000"/>
      <w:szCs w:val="26"/>
    </w:rPr>
  </w:style>
  <w:style w:type="paragraph" w:styleId="TOC3">
    <w:name w:val="TOC 3"/>
    <w:basedOn w:val="Normal"/>
    <w:next w:val="Normal"/>
    <w:autoRedefine/>
    <w:uiPriority w:val="39"/>
    <w:rsid w:val="009c0643"/>
    <w:pPr>
      <w:tabs>
        <w:tab w:val="clear" w:pos="709"/>
        <w:tab w:val="left" w:pos="840" w:leader="none"/>
        <w:tab w:val="right" w:pos="9563" w:leader="dot"/>
      </w:tabs>
      <w:ind w:start="480"/>
    </w:pPr>
    <w:rPr>
      <w:rFonts w:ascii="Courier New" w:hAnsi="Courier New" w:cs="Courier New"/>
      <w:color w:val="000000"/>
    </w:rPr>
  </w:style>
  <w:style w:type="paragraph" w:styleId="RUPNvel2" w:customStyle="1">
    <w:name w:val="RUP Nível 2"/>
    <w:basedOn w:val="Normal"/>
    <w:next w:val="RUPNvel3"/>
    <w:qFormat/>
    <w:pPr>
      <w:keepNext w:val="true"/>
      <w:numPr>
        <w:ilvl w:val="1"/>
        <w:numId w:val="1"/>
      </w:numPr>
      <w:spacing w:before="240" w:after="0"/>
      <w:jc w:val="both"/>
    </w:pPr>
    <w:rPr>
      <w:rFonts w:ascii="Courier New" w:hAnsi="Courier New"/>
      <w:b/>
      <w:i/>
      <w:sz w:val="20"/>
      <w:szCs w:val="20"/>
    </w:rPr>
  </w:style>
  <w:style w:type="paragraph" w:styleId="RUPNvel3" w:customStyle="1">
    <w:name w:val="RUP Nível 3"/>
    <w:basedOn w:val="Normal"/>
    <w:next w:val="RUPCorpo1"/>
    <w:qFormat/>
    <w:pPr>
      <w:numPr>
        <w:ilvl w:val="2"/>
        <w:numId w:val="1"/>
      </w:numPr>
      <w:tabs>
        <w:tab w:val="clear" w:pos="709"/>
        <w:tab w:val="left" w:pos="720" w:leader="none"/>
      </w:tabs>
      <w:spacing w:before="180" w:after="0"/>
      <w:jc w:val="both"/>
    </w:pPr>
    <w:rPr>
      <w:rFonts w:ascii="Courier New" w:hAnsi="Courier New"/>
      <w:sz w:val="20"/>
      <w:szCs w:val="20"/>
    </w:rPr>
  </w:style>
  <w:style w:type="paragraph" w:styleId="RUPCorpo1" w:customStyle="1">
    <w:name w:val="RUP Corpo 1"/>
    <w:qFormat/>
    <w:pPr>
      <w:widowControl/>
      <w:bidi w:val="0"/>
      <w:spacing w:before="120" w:after="0"/>
      <w:ind w:firstLine="425"/>
      <w:jc w:val="both"/>
    </w:pPr>
    <w:rPr>
      <w:rFonts w:ascii="Courier New" w:hAnsi="Courier New" w:eastAsia="Cambria Math" w:cs="Cambria Math"/>
      <w:color w:val="auto"/>
      <w:kern w:val="0"/>
      <w:sz w:val="20"/>
      <w:szCs w:val="20"/>
      <w:lang w:val="pt-BR" w:eastAsia="pt-BR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pPr>
      <w:tabs>
        <w:tab w:val="clear" w:pos="709"/>
        <w:tab w:val="center" w:pos="4419" w:leader="none"/>
        <w:tab w:val="right" w:pos="8838" w:leader="none"/>
      </w:tabs>
    </w:pPr>
    <w:rPr>
      <w:rFonts w:ascii="Courier New" w:hAnsi="Courier New"/>
      <w:color w:val="000000"/>
      <w:szCs w:val="20"/>
      <w:lang w:val="x-none" w:eastAsia="x-none"/>
    </w:rPr>
  </w:style>
  <w:style w:type="paragraph" w:styleId="Footer">
    <w:name w:val="Footer"/>
    <w:basedOn w:val="Normal"/>
    <w:link w:val="RodapChar"/>
    <w:pPr>
      <w:tabs>
        <w:tab w:val="clear" w:pos="709"/>
        <w:tab w:val="center" w:pos="4419" w:leader="none"/>
        <w:tab w:val="right" w:pos="8838" w:leader="none"/>
      </w:tabs>
    </w:pPr>
    <w:rPr>
      <w:rFonts w:ascii="Courier New" w:hAnsi="Courier New"/>
      <w:color w:val="000000"/>
      <w:szCs w:val="20"/>
    </w:rPr>
  </w:style>
  <w:style w:type="paragraph" w:styleId="RUPTabela" w:customStyle="1">
    <w:name w:val="RUP Tabela"/>
    <w:qFormat/>
    <w:pPr>
      <w:widowControl/>
      <w:bidi w:val="0"/>
      <w:spacing w:before="60" w:after="60"/>
      <w:jc w:val="start"/>
    </w:pPr>
    <w:rPr>
      <w:rFonts w:ascii="Courier New" w:hAnsi="Courier New" w:cs="Courier New" w:eastAsia="Cambria Math"/>
      <w:color w:val="auto"/>
      <w:kern w:val="0"/>
      <w:sz w:val="20"/>
      <w:szCs w:val="20"/>
      <w:lang w:val="es-ES_tradnl" w:eastAsia="pt-BR" w:bidi="ar-SA"/>
    </w:rPr>
  </w:style>
  <w:style w:type="paragraph" w:styleId="Nvel1" w:customStyle="1">
    <w:name w:val="Nível 1"/>
    <w:next w:val="RUPNvel2"/>
    <w:qFormat/>
    <w:pPr>
      <w:keepNext w:val="true"/>
      <w:widowControl/>
      <w:numPr>
        <w:ilvl w:val="0"/>
        <w:numId w:val="1"/>
      </w:numPr>
      <w:bidi w:val="0"/>
      <w:spacing w:before="240" w:after="0"/>
      <w:jc w:val="start"/>
    </w:pPr>
    <w:rPr>
      <w:rFonts w:ascii="Courier New" w:hAnsi="Courier New" w:eastAsia="Cambria Math" w:cs="Cambria Math"/>
      <w:b/>
      <w:caps/>
      <w:color w:val="auto"/>
      <w:kern w:val="0"/>
      <w:sz w:val="24"/>
      <w:szCs w:val="20"/>
      <w:lang w:val="pt-BR" w:eastAsia="pt-BR" w:bidi="ar-SA"/>
    </w:rPr>
  </w:style>
  <w:style w:type="paragraph" w:styleId="RUPCorpo2" w:customStyle="1">
    <w:name w:val="RUP Corpo 2"/>
    <w:qFormat/>
    <w:pPr>
      <w:widowControl/>
      <w:bidi w:val="0"/>
      <w:spacing w:before="120" w:after="0"/>
      <w:ind w:firstLine="567"/>
      <w:jc w:val="both"/>
    </w:pPr>
    <w:rPr>
      <w:rFonts w:ascii="Courier New" w:hAnsi="Courier New" w:cs="Courier New" w:eastAsia="Cambria Math"/>
      <w:color w:val="auto"/>
      <w:kern w:val="0"/>
      <w:sz w:val="20"/>
      <w:szCs w:val="20"/>
      <w:lang w:val="pt-BR" w:eastAsia="pt-BR" w:bidi="ar-SA"/>
    </w:rPr>
  </w:style>
  <w:style w:type="paragraph" w:styleId="RUPInstrues" w:customStyle="1">
    <w:name w:val="RUP Instruções"/>
    <w:qFormat/>
    <w:pPr>
      <w:widowControl/>
      <w:bidi w:val="0"/>
      <w:spacing w:before="60" w:after="60"/>
      <w:jc w:val="both"/>
    </w:pPr>
    <w:rPr>
      <w:rFonts w:ascii="Courier New" w:hAnsi="Courier New" w:cs="Courier New" w:eastAsia="Cambria Math"/>
      <w:i/>
      <w:color w:val="0000FF"/>
      <w:kern w:val="0"/>
      <w:sz w:val="18"/>
      <w:szCs w:val="20"/>
      <w:lang w:val="pt-BR" w:eastAsia="pt-BR" w:bidi="ar-SA"/>
    </w:rPr>
  </w:style>
  <w:style w:type="paragraph" w:styleId="TOC4">
    <w:name w:val="TOC 4"/>
    <w:basedOn w:val="Normal"/>
    <w:next w:val="Normal"/>
    <w:autoRedefine/>
    <w:uiPriority w:val="39"/>
    <w:pPr>
      <w:tabs>
        <w:tab w:val="clear" w:pos="709"/>
        <w:tab w:val="right" w:pos="9563" w:leader="dot"/>
      </w:tabs>
      <w:ind w:start="720"/>
    </w:pPr>
    <w:rPr/>
  </w:style>
  <w:style w:type="paragraph" w:styleId="TOC5">
    <w:name w:val="TOC 5"/>
    <w:basedOn w:val="Normal"/>
    <w:next w:val="Normal"/>
    <w:autoRedefine/>
    <w:semiHidden/>
    <w:pPr>
      <w:ind w:start="960"/>
    </w:pPr>
    <w:rPr/>
  </w:style>
  <w:style w:type="paragraph" w:styleId="TOC6">
    <w:name w:val="TOC 6"/>
    <w:basedOn w:val="Normal"/>
    <w:next w:val="Normal"/>
    <w:autoRedefine/>
    <w:semiHidden/>
    <w:pPr>
      <w:ind w:start="1200"/>
    </w:pPr>
    <w:rPr/>
  </w:style>
  <w:style w:type="paragraph" w:styleId="TOC7">
    <w:name w:val="TOC 7"/>
    <w:basedOn w:val="Normal"/>
    <w:next w:val="Normal"/>
    <w:autoRedefine/>
    <w:semiHidden/>
    <w:pPr>
      <w:ind w:start="1440"/>
    </w:pPr>
    <w:rPr/>
  </w:style>
  <w:style w:type="paragraph" w:styleId="TOC8">
    <w:name w:val="TOC 8"/>
    <w:basedOn w:val="Normal"/>
    <w:next w:val="Normal"/>
    <w:autoRedefine/>
    <w:semiHidden/>
    <w:pPr>
      <w:ind w:start="1680"/>
    </w:pPr>
    <w:rPr/>
  </w:style>
  <w:style w:type="paragraph" w:styleId="TOC9">
    <w:name w:val="TOC 9"/>
    <w:basedOn w:val="Normal"/>
    <w:next w:val="Normal"/>
    <w:autoRedefine/>
    <w:semiHidden/>
    <w:pPr>
      <w:ind w:start="1920"/>
    </w:pPr>
    <w:rPr/>
  </w:style>
  <w:style w:type="paragraph" w:styleId="TituloCasodeUso" w:customStyle="1">
    <w:name w:val="Titulo Caso de Uso"/>
    <w:basedOn w:val="Normal"/>
    <w:qFormat/>
    <w:pPr>
      <w:jc w:val="both"/>
    </w:pPr>
    <w:rPr>
      <w:rFonts w:ascii="Courier New" w:hAnsi="Courier New"/>
      <w:b/>
      <w:color w:val="FFFFFF"/>
      <w:szCs w:val="20"/>
      <w:lang w:eastAsia="en-US"/>
    </w:rPr>
  </w:style>
  <w:style w:type="paragraph" w:styleId="SubTituloCasodeUso" w:customStyle="1">
    <w:name w:val="SubTitulo Caso de Uso"/>
    <w:basedOn w:val="Normal"/>
    <w:qFormat/>
    <w:pPr>
      <w:shd w:val="pct15" w:color="auto" w:fill="FFFFFF"/>
      <w:jc w:val="both"/>
    </w:pPr>
    <w:rPr>
      <w:rFonts w:ascii="Courier New" w:hAnsi="Courier New"/>
      <w:b/>
      <w:sz w:val="20"/>
      <w:szCs w:val="20"/>
      <w:lang w:eastAsia="en-US"/>
    </w:rPr>
  </w:style>
  <w:style w:type="paragraph" w:styleId="AnnotationText">
    <w:name w:val="Annotation Text"/>
    <w:basedOn w:val="Normal"/>
    <w:link w:val="TextodecomentrioChar"/>
    <w:semiHidden/>
    <w:pPr>
      <w:widowControl w:val="false"/>
      <w:spacing w:lineRule="atLeast" w:line="240"/>
    </w:pPr>
    <w:rPr>
      <w:sz w:val="20"/>
      <w:szCs w:val="20"/>
      <w:lang w:eastAsia="en-US"/>
    </w:rPr>
  </w:style>
  <w:style w:type="paragraph" w:styleId="BalloonText">
    <w:name w:val="Balloon Text"/>
    <w:basedOn w:val="Normal"/>
    <w:link w:val="TextodebaloChar"/>
    <w:qFormat/>
    <w:pPr/>
    <w:rPr>
      <w:rFonts w:ascii="Cascadia Mono SemiBold" w:hAnsi="Cascadia Mono SemiBold" w:cs="Cascadia Mono SemiBold"/>
      <w:sz w:val="16"/>
      <w:szCs w:val="16"/>
    </w:rPr>
  </w:style>
  <w:style w:type="paragraph" w:styleId="Estilo1" w:customStyle="1">
    <w:name w:val="Estilo1"/>
    <w:basedOn w:val="Normal"/>
    <w:qFormat/>
    <w:pPr>
      <w:spacing w:before="40" w:after="40"/>
    </w:pPr>
    <w:rPr>
      <w:rFonts w:ascii="Courier New" w:hAnsi="Courier New" w:cs="Courier New"/>
      <w:b/>
      <w:sz w:val="20"/>
      <w:szCs w:val="20"/>
    </w:rPr>
  </w:style>
  <w:style w:type="paragraph" w:styleId="Estilo2" w:customStyle="1">
    <w:name w:val="Estilo2"/>
    <w:basedOn w:val="Normal"/>
    <w:qFormat/>
    <w:pPr>
      <w:spacing w:before="40" w:after="40"/>
    </w:pPr>
    <w:rPr>
      <w:rFonts w:ascii="Courier New" w:hAnsi="Courier New"/>
      <w:b/>
      <w:sz w:val="20"/>
    </w:rPr>
  </w:style>
  <w:style w:type="paragraph" w:styleId="Estilo3" w:customStyle="1">
    <w:name w:val="Estilo3"/>
    <w:basedOn w:val="Normal"/>
    <w:qFormat/>
    <w:pPr>
      <w:spacing w:before="40" w:after="40"/>
    </w:pPr>
    <w:rPr>
      <w:rFonts w:ascii="Courier New" w:hAnsi="Courier New" w:cs="Courier New"/>
      <w:b/>
      <w:sz w:val="20"/>
      <w:szCs w:val="20"/>
      <w:u w:val="single"/>
    </w:rPr>
  </w:style>
  <w:style w:type="paragraph" w:styleId="Estilo4" w:customStyle="1">
    <w:name w:val="Estilo4"/>
    <w:basedOn w:val="Normal"/>
    <w:qFormat/>
    <w:pPr>
      <w:spacing w:before="40" w:after="40"/>
    </w:pPr>
    <w:rPr>
      <w:rFonts w:ascii="Courier New" w:hAnsi="Courier New"/>
      <w:b/>
      <w:sz w:val="20"/>
    </w:rPr>
  </w:style>
  <w:style w:type="paragraph" w:styleId="CabealhodoSumrio1" w:customStyle="1">
    <w:name w:val="Cabeçalho do Sumário1"/>
    <w:basedOn w:val="Heading1"/>
    <w:qFormat/>
    <w:pPr>
      <w:tabs>
        <w:tab w:val="clear" w:pos="709"/>
        <w:tab w:val="left" w:pos="720" w:leader="none"/>
      </w:tabs>
      <w:overflowPunct w:val="true"/>
      <w:spacing w:before="0" w:after="240"/>
      <w:jc w:val="center"/>
      <w:textAlignment w:val="baseline"/>
      <w:outlineLvl w:val="9"/>
    </w:pPr>
    <w:rPr>
      <w:rFonts w:cs="Cambria Math"/>
      <w:bCs w:val="false"/>
      <w:kern w:val="0"/>
      <w:sz w:val="36"/>
      <w:szCs w:val="20"/>
      <w:lang w:val="en-US" w:eastAsia="en-US"/>
    </w:rPr>
  </w:style>
  <w:style w:type="paragraph" w:styleId="Date">
    <w:name w:val="Date"/>
    <w:basedOn w:val="Normal"/>
    <w:semiHidden/>
    <w:qFormat/>
    <w:pPr>
      <w:overflowPunct w:val="true"/>
      <w:spacing w:before="5400" w:after="0"/>
      <w:jc w:val="center"/>
      <w:textAlignment w:val="baseline"/>
    </w:pPr>
    <w:rPr>
      <w:b/>
      <w:szCs w:val="20"/>
      <w:lang w:val="en-US" w:eastAsia="en-US"/>
    </w:rPr>
  </w:style>
  <w:style w:type="paragraph" w:styleId="Version" w:customStyle="1">
    <w:name w:val="Version"/>
    <w:basedOn w:val="Normal"/>
    <w:qFormat/>
    <w:pPr>
      <w:overflowPunct w:val="true"/>
      <w:spacing w:before="0" w:after="240"/>
      <w:jc w:val="center"/>
      <w:textAlignment w:val="baseline"/>
    </w:pPr>
    <w:rPr>
      <w:b/>
      <w:szCs w:val="20"/>
      <w:lang w:val="en-US" w:eastAsia="en-US"/>
    </w:rPr>
  </w:style>
  <w:style w:type="paragraph" w:styleId="Tabletext" w:customStyle="1">
    <w:name w:val="Table text"/>
    <w:basedOn w:val="Normal"/>
    <w:qFormat/>
    <w:pPr>
      <w:overflowPunct w:val="true"/>
      <w:spacing w:before="60" w:after="60"/>
      <w:textAlignment w:val="baseline"/>
    </w:pPr>
    <w:rPr>
      <w:rFonts w:ascii="Courier New" w:hAnsi="Courier New"/>
      <w:sz w:val="20"/>
      <w:szCs w:val="20"/>
      <w:lang w:val="en-US" w:eastAsia="en-US"/>
    </w:rPr>
  </w:style>
  <w:style w:type="paragraph" w:styleId="Tablecolheads" w:customStyle="1">
    <w:name w:val="Table colheads"/>
    <w:basedOn w:val="Tabletext"/>
    <w:next w:val="Tabletext"/>
    <w:qFormat/>
    <w:pPr/>
    <w:rPr>
      <w:b/>
    </w:rPr>
  </w:style>
  <w:style w:type="paragraph" w:styleId="BodyText2">
    <w:name w:val="Body Text 2"/>
    <w:basedOn w:val="Normal"/>
    <w:semiHidden/>
    <w:qFormat/>
    <w:pPr>
      <w:spacing w:lineRule="auto" w:line="480" w:before="0" w:after="120"/>
    </w:pPr>
    <w:rPr/>
  </w:style>
  <w:style w:type="paragraph" w:styleId="ListBullet2">
    <w:name w:val="List Bullet 2"/>
    <w:basedOn w:val="Normal"/>
    <w:autoRedefine/>
    <w:semiHidden/>
    <w:pPr>
      <w:numPr>
        <w:ilvl w:val="0"/>
        <w:numId w:val="3"/>
      </w:numPr>
      <w:overflowPunct w:val="true"/>
      <w:spacing w:before="0" w:after="240"/>
      <w:textAlignment w:val="baseline"/>
    </w:pPr>
    <w:rPr>
      <w:i/>
      <w:szCs w:val="20"/>
      <w:lang w:val="en-US" w:eastAsia="en-US"/>
    </w:rPr>
  </w:style>
  <w:style w:type="paragraph" w:styleId="Ttulo313pt" w:customStyle="1">
    <w:name w:val="Título 3 + 13 pt"/>
    <w:basedOn w:val="Heading2"/>
    <w:qFormat/>
    <w:pPr>
      <w:overflowPunct w:val="true"/>
      <w:spacing w:before="120" w:after="120"/>
      <w:textAlignment w:val="baseline"/>
    </w:pPr>
    <w:rPr>
      <w:sz w:val="26"/>
      <w:szCs w:val="26"/>
    </w:rPr>
  </w:style>
  <w:style w:type="paragraph" w:styleId="Ttulo13" w:customStyle="1">
    <w:name w:val="Título13"/>
    <w:basedOn w:val="BodyText2"/>
    <w:qFormat/>
    <w:pPr>
      <w:numPr>
        <w:ilvl w:val="1"/>
        <w:numId w:val="4"/>
      </w:numPr>
      <w:tabs>
        <w:tab w:val="clear" w:pos="709"/>
        <w:tab w:val="left" w:pos="840" w:leader="none"/>
      </w:tabs>
      <w:overflowPunct w:val="true"/>
      <w:spacing w:lineRule="auto" w:line="240" w:before="0" w:after="240"/>
      <w:ind w:start="720"/>
      <w:textAlignment w:val="baseline"/>
    </w:pPr>
    <w:rPr>
      <w:rFonts w:ascii="Courier New" w:hAnsi="Courier New" w:cs="Courier New"/>
      <w:b/>
      <w:sz w:val="26"/>
      <w:szCs w:val="26"/>
    </w:rPr>
  </w:style>
  <w:style w:type="paragraph" w:styleId="Ttulo3" w:customStyle="1">
    <w:name w:val="Título3"/>
    <w:basedOn w:val="Ttulo13"/>
    <w:qFormat/>
    <w:pPr/>
    <w:rPr/>
  </w:style>
  <w:style w:type="paragraph" w:styleId="RUPNvel4" w:customStyle="1">
    <w:name w:val="RUP Nível 4"/>
    <w:next w:val="RUPCorpo1"/>
    <w:qFormat/>
    <w:pPr>
      <w:widowControl/>
      <w:tabs>
        <w:tab w:val="clear" w:pos="709"/>
        <w:tab w:val="left" w:pos="840" w:leader="none"/>
        <w:tab w:val="left" w:pos="2160" w:leader="none"/>
      </w:tabs>
      <w:bidi w:val="0"/>
      <w:spacing w:before="120" w:after="0"/>
      <w:ind w:hanging="1080" w:start="2160"/>
      <w:jc w:val="both"/>
    </w:pPr>
    <w:rPr>
      <w:rFonts w:ascii="Courier New" w:hAnsi="Courier New" w:eastAsia="Cambria Math" w:cs="Cambria Math"/>
      <w:color w:val="auto"/>
      <w:kern w:val="0"/>
      <w:sz w:val="20"/>
      <w:szCs w:val="20"/>
      <w:lang w:val="pt-BR" w:eastAsia="pt-BR" w:bidi="ar-SA"/>
    </w:rPr>
  </w:style>
  <w:style w:type="paragraph" w:styleId="Ttulo1" w:customStyle="1">
    <w:name w:val="Título 1."/>
    <w:basedOn w:val="Normal"/>
    <w:qFormat/>
    <w:pPr>
      <w:keepNext w:val="true"/>
      <w:tabs>
        <w:tab w:val="clear" w:pos="709"/>
        <w:tab w:val="left" w:pos="360" w:leader="none"/>
      </w:tabs>
      <w:spacing w:before="240" w:after="0"/>
      <w:ind w:hanging="360" w:start="360"/>
    </w:pPr>
    <w:rPr>
      <w:rFonts w:ascii="Courier New" w:hAnsi="Courier New" w:cs="Courier New"/>
      <w:b/>
      <w:caps/>
      <w:szCs w:val="20"/>
    </w:rPr>
  </w:style>
  <w:style w:type="paragraph" w:styleId="Ttulo412pt" w:customStyle="1">
    <w:name w:val="Título 4 + 12 pt"/>
    <w:basedOn w:val="Heading1"/>
    <w:qFormat/>
    <w:pPr>
      <w:spacing w:before="0" w:after="0"/>
      <w:ind w:start="960"/>
    </w:pPr>
    <w:rPr>
      <w:sz w:val="24"/>
      <w:szCs w:val="24"/>
    </w:rPr>
  </w:style>
  <w:style w:type="paragraph" w:styleId="TableofFigures">
    <w:name w:val="Table of Figures"/>
    <w:basedOn w:val="Normal"/>
    <w:next w:val="Normal"/>
    <w:semiHidden/>
    <w:pPr/>
    <w:rPr/>
  </w:style>
  <w:style w:type="paragraph" w:styleId="Quote">
    <w:name w:val="Quote"/>
    <w:basedOn w:val="Normal"/>
    <w:next w:val="Normal"/>
    <w:link w:val="CitaoChar"/>
    <w:uiPriority w:val="29"/>
    <w:qFormat/>
    <w:rsid w:val="006d4219"/>
    <w:pPr>
      <w:spacing w:lineRule="auto" w:line="276" w:before="0" w:after="200"/>
      <w:jc w:val="both"/>
    </w:pPr>
    <w:rPr>
      <w:rFonts w:ascii="Wingdings" w:hAnsi="Wingdings" w:eastAsia="Wingdings"/>
      <w:i/>
      <w:sz w:val="22"/>
      <w:szCs w:val="22"/>
      <w:lang w:val="x-none" w:eastAsia="en-US"/>
    </w:rPr>
  </w:style>
  <w:style w:type="paragraph" w:styleId="Fillinginstruction" w:customStyle="1">
    <w:name w:val="Filling instruction"/>
    <w:basedOn w:val="Normal"/>
    <w:next w:val="Normal"/>
    <w:link w:val="FillinginstructionChar"/>
    <w:qFormat/>
    <w:rsid w:val="00174a2c"/>
    <w:pPr>
      <w:spacing w:before="60" w:after="60"/>
      <w:jc w:val="both"/>
    </w:pPr>
    <w:rPr>
      <w:rFonts w:ascii="Courier New" w:hAnsi="Courier New"/>
      <w:i/>
      <w:color w:val="0000FF"/>
      <w:sz w:val="20"/>
      <w:szCs w:val="20"/>
      <w:lang w:val="x-none"/>
    </w:rPr>
  </w:style>
  <w:style w:type="paragraph" w:styleId="Fillinginstructiontablecell" w:customStyle="1">
    <w:name w:val="Filling instruction (table cell)"/>
    <w:qFormat/>
    <w:rsid w:val="00174a2c"/>
    <w:pPr>
      <w:widowControl/>
      <w:bidi w:val="0"/>
      <w:spacing w:before="0" w:after="0"/>
      <w:ind w:start="34"/>
      <w:jc w:val="center"/>
    </w:pPr>
    <w:rPr>
      <w:rFonts w:ascii="Courier New" w:hAnsi="Courier New" w:eastAsia="Cambria Math" w:cs="Cambria Math"/>
      <w:i/>
      <w:color w:val="0000FF"/>
      <w:kern w:val="0"/>
      <w:sz w:val="20"/>
      <w:szCs w:val="20"/>
      <w:lang w:val="pt-BR" w:eastAsia="pt-BR" w:bidi="ar-SA"/>
    </w:rPr>
  </w:style>
  <w:style w:type="paragraph" w:styleId="Tableheader" w:customStyle="1">
    <w:name w:val="Table header"/>
    <w:qFormat/>
    <w:rsid w:val="00174a2c"/>
    <w:pPr>
      <w:widowControl/>
      <w:bidi w:val="0"/>
      <w:spacing w:before="0" w:after="0"/>
      <w:jc w:val="center"/>
    </w:pPr>
    <w:rPr>
      <w:rFonts w:ascii="Courier New" w:hAnsi="Courier New" w:eastAsia="Cambria Math" w:cs="Cambria Math"/>
      <w:b/>
      <w:color w:val="auto"/>
      <w:kern w:val="0"/>
      <w:sz w:val="20"/>
      <w:szCs w:val="20"/>
      <w:lang w:val="pt-BR" w:eastAsia="pt-BR" w:bidi="ar-SA"/>
    </w:rPr>
  </w:style>
  <w:style w:type="paragraph" w:styleId="infoblue" w:customStyle="1">
    <w:name w:val="infoblue"/>
    <w:basedOn w:val="Normal"/>
    <w:qFormat/>
    <w:rsid w:val="00174a2c"/>
    <w:pPr>
      <w:spacing w:lineRule="atLeast" w:line="240" w:before="0" w:after="120"/>
      <w:ind w:start="720"/>
    </w:pPr>
    <w:rPr>
      <w:i/>
      <w:iCs/>
      <w:color w:val="0000FF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174a2c"/>
    <w:pPr>
      <w:spacing w:beforeAutospacing="1" w:afterAutospacing="1"/>
    </w:pPr>
    <w:rPr/>
  </w:style>
  <w:style w:type="paragraph" w:styleId="ListParagraph">
    <w:name w:val="List Paragraph"/>
    <w:basedOn w:val="Normal"/>
    <w:uiPriority w:val="34"/>
    <w:qFormat/>
    <w:rsid w:val="001f0644"/>
    <w:pPr>
      <w:ind w:start="708"/>
    </w:pPr>
    <w:rPr/>
  </w:style>
  <w:style w:type="paragraph" w:styleId="EndnoteText">
    <w:name w:val="Endnote Text"/>
    <w:basedOn w:val="Normal"/>
    <w:link w:val="TextodenotadefimChar"/>
    <w:uiPriority w:val="99"/>
    <w:semiHidden/>
    <w:unhideWhenUsed/>
    <w:rsid w:val="005d4a58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f320ce"/>
    <w:pPr>
      <w:widowControl/>
      <w:spacing w:lineRule="auto" w:line="240"/>
    </w:pPr>
    <w:rPr>
      <w:b/>
      <w:bCs/>
      <w:lang w:eastAsia="pt-BR"/>
    </w:rPr>
  </w:style>
  <w:style w:type="paragraph" w:styleId="Aprovaes" w:customStyle="1">
    <w:name w:val="Aprovações"/>
    <w:qFormat/>
    <w:rsid w:val="00c76a77"/>
    <w:pPr>
      <w:widowControl/>
      <w:bidi w:val="0"/>
      <w:spacing w:before="0" w:after="0"/>
      <w:jc w:val="center"/>
    </w:pPr>
    <w:rPr>
      <w:rFonts w:ascii="Wingdings" w:hAnsi="Wingdings" w:eastAsia="Wingdings" w:cs="Cambria Math"/>
      <w:b/>
      <w:color w:val="auto"/>
      <w:kern w:val="0"/>
      <w:sz w:val="22"/>
      <w:szCs w:val="22"/>
      <w:lang w:eastAsia="en-US" w:val="pt-BR" w:bidi="ar-SA"/>
    </w:rPr>
  </w:style>
  <w:style w:type="paragraph" w:styleId="HTMLPreformatted">
    <w:name w:val="HTML Preformatted"/>
    <w:basedOn w:val="Normal"/>
    <w:link w:val="Pr-formataoHTMLChar"/>
    <w:uiPriority w:val="99"/>
    <w:unhideWhenUsed/>
    <w:qFormat/>
    <w:rsid w:val="00136fc5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95480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runo.siqueira@tce.mg.gov.br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hyperlink" Target="tmp/teste" TargetMode="Externa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comments" Target="comments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<Relationship Id="rId21" Type="http://schemas.openxmlformats.org/officeDocument/2006/relationships/customXml" Target="../customXml/item2.xml"/><Relationship Id="rId22" Type="http://schemas.openxmlformats.org/officeDocument/2006/relationships/customXml" Target="../customXml/item3.xml"/><Relationship Id="rId23" Type="http://schemas.openxmlformats.org/officeDocument/2006/relationships/customXml" Target="../customXml/item4.xml"/><Relationship Id="rId24" Type="http://schemas.openxmlformats.org/officeDocument/2006/relationships/customXml" Target="../customXml/item5.xml"/><Relationship Id="rId25" Type="http://schemas.openxmlformats.org/officeDocument/2006/relationships/customXml" Target="../customXml/item6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_rels/item6.xml.rels><?xml version="1.0" encoding="UTF-8"?>
<Relationships xmlns="http://schemas.openxmlformats.org/package/2006/relationships"><Relationship Id="rId1" Type="http://schemas.openxmlformats.org/officeDocument/2006/relationships/customXmlProps" Target="itemProps6.xml"/>
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d5f14-0f17-470e-a9d1-102b4ca3f18c">
      <Terms xmlns="http://schemas.microsoft.com/office/infopath/2007/PartnerControls"/>
    </lcf76f155ced4ddcb4097134ff3c332f>
    <TaxCatchAll xmlns="d425330a-7233-4c74-8ea4-1e52e8e11878" xsi:nil="true"/>
    <Com_x0020_Checkout_x0020_para xmlns="f2fd5f14-0f17-470e-a9d1-102b4ca3f18c">
      <UserInfo>
        <DisplayName/>
        <AccountId xsi:nil="true"/>
        <AccountType/>
      </UserInfo>
    </Com_x0020_Checkout_x0020_para>
    <_dlc_DocId xmlns="d425330a-7233-4c74-8ea4-1e52e8e11878">RUQDWRHESAVV-1145296948-30793</_dlc_DocId>
    <_dlc_DocIdUrl xmlns="d425330a-7233-4c74-8ea4-1e52e8e11878">
      <Url>https://tcemggovbr.sharepoint.com/sites/desenvolvimentoemanutencao_/_layouts/15/DocIdRedir.aspx?ID=RUQDWRHESAVV-1145296948-30793</Url>
      <Description>RUQDWRHESAVV-1145296948-30793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67A51E5DB094A9EC24CE7ED6439B0" ma:contentTypeVersion="13" ma:contentTypeDescription="Crie um novo documento." ma:contentTypeScope="" ma:versionID="78e95d2ee4c79d0d2caef11826d8345b">
  <xsd:schema xmlns:xsd="http://www.w3.org/2001/XMLSchema" xmlns:xs="http://www.w3.org/2001/XMLSchema" xmlns:p="http://schemas.microsoft.com/office/2006/metadata/properties" xmlns:ns2="d425330a-7233-4c74-8ea4-1e52e8e11878" xmlns:ns3="f2fd5f14-0f17-470e-a9d1-102b4ca3f18c" targetNamespace="http://schemas.microsoft.com/office/2006/metadata/properties" ma:root="true" ma:fieldsID="4762f8852487577c38e0d6fcf1450c55" ns2:_="" ns3:_="">
    <xsd:import namespace="d425330a-7233-4c74-8ea4-1e52e8e11878"/>
    <xsd:import namespace="f2fd5f14-0f17-470e-a9d1-102b4ca3f1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m_x0020_Checkout_x0020_par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5330a-7233-4c74-8ea4-1e52e8e1187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7a677e3b-0874-450f-b52a-0aeb8998c59b}" ma:internalName="TaxCatchAll" ma:showField="CatchAllData" ma:web="d425330a-7233-4c74-8ea4-1e52e8e11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5f14-0f17-470e-a9d1-102b4ca3f18c" elementFormDefault="qualified">
    <xsd:import namespace="http://schemas.microsoft.com/office/2006/documentManagement/types"/>
    <xsd:import namespace="http://schemas.microsoft.com/office/infopath/2007/PartnerControls"/>
    <xsd:element name="Com_x0020_Checkout_x0020_para" ma:index="11" nillable="true" ma:displayName="Com Checkout para" ma:list="UserInfo" ma:SharePointGroup="0" ma:internalName="Com_x0020_Checkout_x0020_para" ma:showField="EMai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25f0830b-4c39-44c2-ade8-557122c503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888B817-7572-4529-9754-C71C139FD98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72234FAF-DBB6-4BE9-A932-B6D9A4E782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B918BA-ED55-4A9B-9043-5AE2C913FB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BA74A9-FD1D-4853-A246-83221D1B4589}">
  <ds:schemaRefs>
    <ds:schemaRef ds:uri="http://schemas.microsoft.com/office/2006/metadata/properties"/>
    <ds:schemaRef ds:uri="http://schemas.microsoft.com/office/infopath/2007/PartnerControls"/>
    <ds:schemaRef ds:uri="2efca066-e5f0-43b1-8856-7650c54c9f9e"/>
    <ds:schemaRef ds:uri="50b7f6ba-ee2a-48b5-9969-738de684139f"/>
  </ds:schemaRefs>
</ds:datastoreItem>
</file>

<file path=customXml/itemProps5.xml><?xml version="1.0" encoding="utf-8"?>
<ds:datastoreItem xmlns:ds="http://schemas.openxmlformats.org/officeDocument/2006/customXml" ds:itemID="{849C88CA-D8B3-42C4-B888-F70A5ED91B5F}"/>
</file>

<file path=customXml/itemProps6.xml><?xml version="1.0" encoding="utf-8"?>
<ds:datastoreItem xmlns:ds="http://schemas.openxmlformats.org/officeDocument/2006/customXml" ds:itemID="{4589411B-1D6A-45AC-9BF3-35D3144C80C0}"/>
</file>

<file path=docProps/app.xml><?xml version="1.0" encoding="utf-8"?>
<Properties xmlns="http://schemas.openxmlformats.org/officeDocument/2006/extended-properties" xmlns:vt="http://schemas.openxmlformats.org/officeDocument/2006/docPropsVTypes">
  <Template>Template_Termo_Abertura-1.dot</Template>
  <TotalTime>4268</TotalTime>
  <Application>LibreOffice/24.2.7.2$Linux_X86_64 LibreOffice_project/420$Build-2</Application>
  <AppVersion>15.0000</AppVersion>
  <Pages>5</Pages>
  <Words>482</Words>
  <Characters>2603</Characters>
  <CharactersWithSpaces>3079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2023-10-23T15:27:00Z</dcterms:created>
  <dc:creator>Administrador</dc:creator>
  <dc:description/>
  <dc:language>en-US</dc:language>
  <cp:lastModifiedBy>CARINA RORIZ PIMENTA</cp:lastModifiedBy>
  <cp:lastPrinted>2005-12-26T18:24:00Z</cp:lastPrinted>
  <dcterms:modified xsi:type="dcterms:W3CDTF">2025-09-25T14:02:00Z</dcterms:modified>
  <cp:revision>29</cp:revision>
  <dc:subject/>
  <dc:title>Caso de Uso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entário">
    <vt:lpwstr/>
  </property>
  <property fmtid="{D5CDD505-2E9C-101B-9397-08002B2CF9AE}" pid="3" name="ContentType">
    <vt:lpwstr>Documento</vt:lpwstr>
  </property>
  <property fmtid="{D5CDD505-2E9C-101B-9397-08002B2CF9AE}" pid="4" name="ContentTypeId">
    <vt:lpwstr>0x010100B4B67A51E5DB094A9EC24CE7ED6439B0</vt:lpwstr>
  </property>
  <property fmtid="{D5CDD505-2E9C-101B-9397-08002B2CF9AE}" pid="5" name="Etapa do Projeto">
    <vt:lpwstr>CONCEPÇÃO</vt:lpwstr>
  </property>
  <property fmtid="{D5CDD505-2E9C-101B-9397-08002B2CF9AE}" pid="6" name="Order">
    <vt:r8>340800</vt:r8>
  </property>
  <property fmtid="{D5CDD505-2E9C-101B-9397-08002B2CF9AE}" pid="7" name="TaxKeyword">
    <vt:lpwstr/>
  </property>
  <property fmtid="{D5CDD505-2E9C-101B-9397-08002B2CF9AE}" pid="8" name="_dlc_DocIdItemGuid">
    <vt:lpwstr>15f2dfb7-4cf7-47c2-be51-ef573f967101</vt:lpwstr>
  </property>
</Properties>
</file>