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color w:val="1F1F1F"/>
          <w:sz w:val="40"/>
          <w:szCs w:val="40"/>
        </w:rPr>
        <w:t xml:space="preserve">Apontamentos de Revisão — Documentos POP/GMO</w:t>
      </w:r>
    </w:p>
    <w:p>
      <w:pPr>
        <w:spacing w:before="0" w:after="160"/>
      </w:pPr>
      <w:r>
        <w:rPr>
          <w:i/>
          <w:color w:val="555555"/>
          <w:sz w:val="20"/>
          <w:szCs w:val="20"/>
        </w:rPr>
        <w:t xml:space="preserve">Análise dos apontamentos feitos por outra sessão do Claude sobre os documentos PO.GG.ORC.001/002/003 e PO.GG.GMO.001, usando o histórico da conversa original como base para cada veredito.</w:t>
      </w:r>
    </w:p>
    <w:p>
      <w:pPr>
        <w:spacing w:before="0" w:after="300"/>
      </w:pPr>
      <w:r>
        <w:rPr>
          <w:i/>
          <w:color w:val="555555"/>
          <w:sz w:val="20"/>
          <w:szCs w:val="20"/>
        </w:rPr>
        <w:t xml:space="preserve">Escopo: apenas os documentos POP efetivamente produzidos nesta sessão. Os apontamentos sobre RE.CM.PJC.001-005, RE.GG.PRO.001 (CERP) e IT.CM.QLD.001 (Fundações) foram excluídos, pois esses documentos não foram elaborados nesta sessão.</w:t>
      </w:r>
    </w:p>
    <w:p>
      <w:pPr>
        <w:spacing w:before="400" w:after="200"/>
      </w:pPr>
      <w:r>
        <w:rPr>
          <w:b/>
          <w:color w:val="1F1F1F"/>
          <w:sz w:val="30"/>
          <w:szCs w:val="30"/>
        </w:rPr>
        <w:t xml:space="preserve">PO.GG.ORC.001 — Atualização de Valores Unitários</w:t>
      </w:r>
    </w:p>
    <w:tbl>
      <w:tblPr>
        <w:tblW w:w="91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 w:firstRow="1" w:lastRow="0" w:firstColumn="1" w:lastColumn="0" w:noHBand="0" w:noVBand="1"/>
      </w:tblPr>
      <w:tblGrid>
        <w:gridCol w:w="500"/>
        <w:gridCol w:w="1900"/>
        <w:gridCol w:w="6700"/>
      </w:tblGrid>
      <w:tr>
        <w:trPr>
          <w:tblHeader/>
        </w:trPr>
        <w:tc>
          <w:tcPr>
            <w:tcW w:w="5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9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Veredito</w:t>
            </w:r>
          </w:p>
        </w:tc>
        <w:tc>
          <w:tcPr>
            <w:tcW w:w="67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1E7B34"/>
                <w:sz w:val="19"/>
                <w:szCs w:val="19"/>
              </w:rPr>
              <w:t xml:space="preserve">Faz sentido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Eu mesmo já tinha sinalizado isso na entrega — o bloco de Due Diligence Gadens parece herdado de outro documento usado como base. Mantive porque é conteúdo real da fonte; não posso removê-lo por conta própria (regra de não alterar/inventar conteúdo).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B02A2A"/>
                <w:sz w:val="19"/>
                <w:szCs w:val="19"/>
              </w:rPr>
              <w:t xml:space="preserve">Não procede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Verifiquei os três scripts: ORC.001, .002 e .003 usam exatamente o mesmo formato (parágrafo corrido com “; ” entre itens) — não há lista em nenhum dos três. A afirmação de que .002/.003 usam lista está incorreta.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Questão de negócio, não é erro meu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fonte realmente dizia “Aplica-se apenas para... Make It”. Transpus fielmente. É uma pergunta válida para levar à área de Orçamentos, não uma falha de transposição.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Sugestão fora do escopo pedido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O passo 6 do template é uma lista numerada fixa — criar uma tabela nova ali seria alterar a estrutura do modelo, algo que as instruções originais pedem para não fazer sem autorização. Posso montar essa tabela à parte, se solicitado.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Reflete a fonte, não é erro meu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Essa frase já estava no bloco “Cuidados Especiais/Pontos de Atenção” da fonte original — não fui eu que a posicionei ali. Vale reorganizar, mas é decisão de conteúdo, não de transposição.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Questão de negócio, não é erro meu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fonte não trazia limiar percentual; não inventei um, seguindo a regra confirmada de nunca criar métrica ausente da fonte.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Sugestão válida, não posso adicionar sozinho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fonte dizia explicitamente “não possui indicadores próprios” — mantive por regra de não fabricar indicador ausente. Se a área de Orçamentos quiser adotar o indicador sugerido, posso adicionar.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fonte, não é erro meu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“Obra” está em Aplicação mas nunca apareceu na tabela de Responsabilidades da fonte original — não criei uma linha nova para não inventar responsabilidade/autonomia que a fonte não definiu.</w:t>
            </w:r>
          </w:p>
        </w:tc>
      </w:tr>
    </w:tbl>
    <w:p>
      <w:pPr>
        <w:spacing w:before="400" w:after="200"/>
      </w:pPr>
      <w:r>
        <w:rPr>
          <w:b/>
          <w:color w:val="1F1F1F"/>
          <w:sz w:val="30"/>
          <w:szCs w:val="30"/>
        </w:rPr>
        <w:t xml:space="preserve">PO.GG.ORC.002 — Orçamento Executivo</w:t>
      </w:r>
    </w:p>
    <w:tbl>
      <w:tblPr>
        <w:tblW w:w="91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 w:firstRow="1" w:lastRow="0" w:firstColumn="1" w:lastColumn="0" w:noHBand="0" w:noVBand="1"/>
      </w:tblPr>
      <w:tblGrid>
        <w:gridCol w:w="500"/>
        <w:gridCol w:w="1900"/>
        <w:gridCol w:w="6700"/>
      </w:tblGrid>
      <w:tr>
        <w:trPr>
          <w:tblHeader/>
        </w:trPr>
        <w:tc>
          <w:tcPr>
            <w:tcW w:w="5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9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Veredito</w:t>
            </w:r>
          </w:p>
        </w:tc>
        <w:tc>
          <w:tcPr>
            <w:tcW w:w="67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B02A2A"/>
                <w:sz w:val="19"/>
                <w:szCs w:val="19"/>
              </w:rPr>
              <w:t xml:space="preserve">Não procede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“Bruno Kawasaki” e “Alessandro Braz, Carlos Vargas” não são uma “revisão 01” real — são os nomes-placeholder de fábrica do modelo PO.GG.QLD.001 (texto substituído em todo script). O mesmo vale para “Revisão: 02”, valor padrão do dropdown antes da troca para “00”. Não existe revisão 01 anterior deste documento; ele foi criado do zero nesta sessão, com Leticia Bacchi/Fernando Okraska sendo os dados reais da fonte. Provável comparação equivocada com o modelo em branco.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Questão de negócio, não é erro meu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Confirmado nas fontes: ORC.002 diz “dois terceiros”, ORC.003 diz “um possível terceiro” — textos diferentes nos arquivos originais, nada foi alterado. Vale confirmar se é intencional.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Questão de negócio, não é erro meu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Mesmo caso do ORC.001 item 6 — fonte sem limiar definido.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Sugestão válida, não fabrico sozinho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Mesmo caso do ORC.001 item 7.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Mesmo caso do ORC.001 item 8.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Sugestão de melhoria, não erro de transposição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“Autonomia técnica plena” é texto literal da fonte nos três documentos — não inventado. Vale a discussão de torná-lo quantitativo, mas é decisão do dono do processo.</w:t>
            </w:r>
          </w:p>
        </w:tc>
      </w:tr>
    </w:tbl>
    <w:p>
      <w:pPr>
        <w:spacing w:before="400" w:after="200"/>
      </w:pPr>
      <w:r>
        <w:rPr>
          <w:b/>
          <w:color w:val="1F1F1F"/>
          <w:sz w:val="30"/>
          <w:szCs w:val="30"/>
        </w:rPr>
        <w:t xml:space="preserve">PO.GG.ORC.003 — Orçamento EP</w:t>
      </w:r>
    </w:p>
    <w:tbl>
      <w:tblPr>
        <w:tblW w:w="91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 w:firstRow="1" w:lastRow="0" w:firstColumn="1" w:lastColumn="0" w:noHBand="0" w:noVBand="1"/>
      </w:tblPr>
      <w:tblGrid>
        <w:gridCol w:w="500"/>
        <w:gridCol w:w="1900"/>
        <w:gridCol w:w="6700"/>
      </w:tblGrid>
      <w:tr>
        <w:trPr>
          <w:tblHeader/>
        </w:trPr>
        <w:tc>
          <w:tcPr>
            <w:tcW w:w="5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9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Veredito</w:t>
            </w:r>
          </w:p>
        </w:tc>
        <w:tc>
          <w:tcPr>
            <w:tcW w:w="67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B02A2A"/>
                <w:sz w:val="19"/>
                <w:szCs w:val="19"/>
              </w:rPr>
              <w:t xml:space="preserve">Não procede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Mesma explicação do ORC.002 item 1 — confusão com os placeholders do template em branco.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Questão de negócio, não é erro meu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fonte usa literalmente a palavra “possível” — preservado como estava.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Gaps reais da fonte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Desvio sem limiar, sem indicadores, Obra fora da tabela de papéis — mesmos casos já explicados para o ORC.002.</w:t>
            </w:r>
          </w:p>
        </w:tc>
      </w:tr>
    </w:tbl>
    <w:p>
      <w:pPr>
        <w:spacing w:before="400" w:after="200"/>
      </w:pPr>
      <w:r>
        <w:rPr>
          <w:b/>
          <w:color w:val="1F1F1F"/>
          <w:sz w:val="30"/>
          <w:szCs w:val="30"/>
        </w:rPr>
        <w:t xml:space="preserve">PO.GG.GMO.001 — Medições (duas versões)</w:t>
      </w:r>
    </w:p>
    <w:tbl>
      <w:tblPr>
        <w:tblW w:w="91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 w:firstRow="1" w:lastRow="0" w:firstColumn="1" w:lastColumn="0" w:noHBand="0" w:noVBand="1"/>
      </w:tblPr>
      <w:tblGrid>
        <w:gridCol w:w="500"/>
        <w:gridCol w:w="1900"/>
        <w:gridCol w:w="6700"/>
      </w:tblGrid>
      <w:tr>
        <w:trPr>
          <w:tblHeader/>
        </w:trPr>
        <w:tc>
          <w:tcPr>
            <w:tcW w:w="5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9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Veredito</w:t>
            </w:r>
          </w:p>
        </w:tc>
        <w:tc>
          <w:tcPr>
            <w:tcW w:w="6700" w:type="dxa"/>
            <w:shd w:val="clear" w:color="auto" w:fill="2F2F2F"/>
            <w:vAlign w:val="center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Comentário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1E7B34"/>
                <w:sz w:val="19"/>
                <w:szCs w:val="19"/>
              </w:rPr>
              <w:t xml:space="preserve">Faz sentido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Confirma que a versão entregue (“Medições - GMO”) é a correta; a outra é o rascunho “Editando” anterior. Housekeeping do usuário: arquivar o rascunho.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1E7B34"/>
                <w:sz w:val="19"/>
                <w:szCs w:val="19"/>
              </w:rPr>
              <w:t xml:space="preserve">Já corrigido na versão entregue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Data 03/07/2027→03/07/2026, “aUTORIZAÇÃO DE PAGAMENTO”→“Autorização de Pagamento”, “sISTEMA mEGA”→“Sistema MEGA” — tudo já corrigido e comunicado na entrega. O apontamento refere-se à versão antiga/rascunho, não à entregue.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Real, mas não é algo a corrigir sozinho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Elaborador e Aprovador são de fato a mesma pessoa (Lizandra de Liz) — veio literalmente da fonte. Não foi inventado um segundo nome fictício para separar os papéis (seria fabricar conteúdo). Decisão de governança que precisa de definição humana.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1E7B34"/>
                <w:sz w:val="19"/>
                <w:szCs w:val="19"/>
              </w:rPr>
              <w:t xml:space="preserve">Já corrigido na versão entregue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O resíduo “diretrizes estratégicas de prospecção” foi removido no script e confirmado na revisão final antes da entrega.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Reflete a fonte, não é erro meu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ambiguidade Make It vs. Grupo já existia no texto original da Aplicação; só a gramática foi corrigida (“a setores”→“os setores”), não o conteúdo.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fonte, não é erro de transposição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SLA sem prazo definido para NF, conferência fiscal e pagamento — já existia assim no processo descrito na fonte. Transposto fielmente, sem inventar prazos.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fonte, não é erro de transposição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Indicador único não cobre o desvio de NF fora da competência — situação herdada da fonte.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fonte, não é erro de transposição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Ação de desvio é apenas “envio de relatório” nos dois casos — texto literal da fonte, sem destinatário/decisor definidos.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9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b/>
                <w:color w:val="555555"/>
                <w:sz w:val="19"/>
                <w:szCs w:val="19"/>
              </w:rPr>
              <w:t xml:space="preserve">Gap real da fonte, não é erro de transposição</w:t>
            </w:r>
          </w:p>
        </w:tc>
        <w:tc>
          <w:tcPr>
            <w:tcW w:w="6700" w:type="dxa"/>
            <w:shd w:val="clear" w:color="auto" w:fill="FFFFFF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Registros listam apenas a AP — a fonte original também só trazia essa linha na tabela de Registro.</w:t>
            </w:r>
          </w:p>
        </w:tc>
      </w:tr>
      <w:tr>
        <w:tc>
          <w:tcPr>
            <w:tcW w:w="5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b/>
                <w:color w:val="1E7B34"/>
                <w:sz w:val="19"/>
                <w:szCs w:val="19"/>
              </w:rPr>
              <w:t xml:space="preserve">Faz sentido — efeito colateral de uma decisão do usuário</w:t>
            </w:r>
          </w:p>
        </w:tc>
        <w:tc>
          <w:tcPr>
            <w:tcW w:w="6700" w:type="dxa"/>
            <w:shd w:val="clear" w:color="auto" w:fill="F2F2F2"/>
            <w:vAlign w:val="center"/>
          </w:tcPr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 pedido explícito do usuário, “Papéis-chave” foi completado com Qualidade e Diretoria para bater com a tabela de Responsabilidades. A frase de Aplicação não foi atualizada junto (já não mencionava Qualidade nem Diretoria mesmo na fonte original). Inconsistência real remanescente — pode ser corrigida se solicitado.</w:t>
            </w:r>
          </w:p>
        </w:tc>
      </w:tr>
    </w:tbl>
    <w:p>
      <w:pPr>
        <w:spacing w:before="400" w:after="200"/>
      </w:pPr>
      <w:r>
        <w:rPr>
          <w:b/>
          <w:color w:val="1F1F1F"/>
          <w:sz w:val="30"/>
          <w:szCs w:val="30"/>
        </w:rPr>
        <w:t xml:space="preserve">Resumo prático</w:t>
      </w:r>
    </w:p>
    <w:p>
      <w:pPr>
        <w:spacing w:before="0" w:after="160"/>
      </w:pPr>
      <w:r>
        <w:rPr>
          <w:sz w:val="21"/>
          <w:szCs w:val="21"/>
        </w:rPr>
        <w:t xml:space="preserve">Os itens [E] que apontam erro concreto de transposição (grafia, formatação, texto residual) — na maioria já estavam corrigidos no que foi entregue, exceto os dois apontamentos sobre “capa desatualizada” nos ORC.002/003, considerados equivocados (comparação com o template em branco, não com uma revisão real).</w:t>
      </w:r>
    </w:p>
    <w:p>
      <w:pPr>
        <w:spacing w:before="0" w:after="160"/>
      </w:pPr>
      <w:r>
        <w:rPr>
          <w:sz w:val="21"/>
          <w:szCs w:val="21"/>
        </w:rPr>
        <w:t xml:space="preserve">Os itens [C]/[D] são, quase todos, lacunas ou ambiguidades que já existiam nos documentos-fonte fornecidos — foram preservadas de propósito, por causa da regra confirmada de nunca inventar conteúdo ausente da fonte.</w:t>
      </w:r>
    </w:p>
    <w:p>
      <w:pPr>
        <w:spacing w:before="0" w:after="160"/>
      </w:pPr>
      <w:r>
        <w:rPr>
          <w:sz w:val="21"/>
          <w:szCs w:val="21"/>
        </w:rPr>
        <w:t xml:space="preserve">Qualquer uma dessas correções de conteúdo (limiares, indicadores, tabela de responsabilidade completa) pode ser aplicada assim que os valores forem definidos com as áreas responsáveis (Orçamentos, GMO).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Claude</Application>
</Properties>
</file>

<file path=docProps/core.xml><?xml version="1.0" encoding="utf-8"?>
<cp:coreProperties xmlns:cp="http://schemas.openxmlformats.org/package/2006/metadata/core-properties" xmlns:dc="http://purl.org/dc/elements/1.1/">
  <dc:title>Apontamentos de Revisão — Documentos POP/GMO</dc:title>
  <dc:creator>Claude</dc:creator>
</cp:coreProperties>
</file>