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8144" w14:textId="77777777" w:rsidR="001E532C" w:rsidRDefault="001E532C">
      <w:pPr>
        <w:spacing w:after="2880"/>
      </w:pPr>
    </w:p>
    <w:p w14:paraId="270EC5C0" w14:textId="77777777" w:rsidR="001E532C" w:rsidRDefault="00000000">
      <w:pPr>
        <w:spacing w:after="240"/>
        <w:jc w:val="center"/>
      </w:pPr>
      <w:r>
        <w:rPr>
          <w:b/>
          <w:bCs/>
          <w:caps/>
          <w:color w:val="0D1F3C"/>
          <w:sz w:val="52"/>
          <w:szCs w:val="52"/>
        </w:rPr>
        <w:t>SEGURADORA XPERIUN</w:t>
      </w:r>
    </w:p>
    <w:p w14:paraId="7CC52B7E" w14:textId="77777777" w:rsidR="001E532C" w:rsidRDefault="00000000">
      <w:pPr>
        <w:pBdr>
          <w:bottom w:val="single" w:sz="12" w:space="8" w:color="2E9CCA"/>
        </w:pBdr>
        <w:spacing w:after="480"/>
        <w:jc w:val="center"/>
      </w:pPr>
      <w:r>
        <w:rPr>
          <w:color w:val="2E9CCA"/>
          <w:sz w:val="40"/>
          <w:szCs w:val="40"/>
        </w:rPr>
        <w:t>Análise Estratégica de Churn</w:t>
      </w:r>
    </w:p>
    <w:p w14:paraId="33226B53" w14:textId="77777777" w:rsidR="001E532C" w:rsidRDefault="00000000">
      <w:pPr>
        <w:spacing w:after="120"/>
        <w:jc w:val="center"/>
      </w:pPr>
      <w:r>
        <w:rPr>
          <w:color w:val="555555"/>
          <w:sz w:val="26"/>
          <w:szCs w:val="26"/>
        </w:rPr>
        <w:t>Carteira de Seguros: Auto, Vida e Residencial</w:t>
      </w:r>
    </w:p>
    <w:p w14:paraId="4A7C0E04" w14:textId="77777777" w:rsidR="001E532C" w:rsidRDefault="00000000">
      <w:pPr>
        <w:spacing w:after="3600"/>
        <w:jc w:val="center"/>
      </w:pPr>
      <w:r>
        <w:rPr>
          <w:color w:val="777777"/>
        </w:rPr>
        <w:t>Período de Análise: Janeiro/2020 — Setembro/2025</w:t>
      </w:r>
    </w:p>
    <w:tbl>
      <w:tblPr>
        <w:tblpPr w:horzAnchor="page" w:tblpX="720"/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</w:tblGrid>
      <w:tr w:rsidR="001E532C" w14:paraId="65BACB6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329881" w14:textId="77777777" w:rsidR="001E532C" w:rsidRDefault="00000000">
            <w:pPr>
              <w:jc w:val="center"/>
            </w:pPr>
            <w:r>
              <w:rPr>
                <w:b/>
                <w:bCs/>
                <w:color w:val="0D1F3C"/>
                <w:sz w:val="48"/>
                <w:szCs w:val="48"/>
              </w:rPr>
              <w:t>16,41%</w:t>
            </w:r>
          </w:p>
          <w:p w14:paraId="741159A9" w14:textId="77777777" w:rsidR="001E532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Taxa de Churn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A9AF90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R$ 71,7M</w:t>
            </w:r>
          </w:p>
          <w:p w14:paraId="00C11B3B" w14:textId="77777777" w:rsidR="001E532C" w:rsidRDefault="00000000">
            <w:pPr>
              <w:jc w:val="center"/>
            </w:pPr>
            <w:r>
              <w:rPr>
                <w:color w:val="D5E8F0"/>
                <w:sz w:val="18"/>
                <w:szCs w:val="18"/>
              </w:rPr>
              <w:t>Gap de Receita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3E59D7" w14:textId="77777777" w:rsidR="001E532C" w:rsidRDefault="00000000">
            <w:pPr>
              <w:jc w:val="center"/>
            </w:pPr>
            <w:r>
              <w:rPr>
                <w:b/>
                <w:bCs/>
                <w:color w:val="0D1F3C"/>
                <w:sz w:val="48"/>
                <w:szCs w:val="48"/>
              </w:rPr>
              <w:t>R$ 17,8M</w:t>
            </w:r>
          </w:p>
          <w:p w14:paraId="72093172" w14:textId="77777777" w:rsidR="001E532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Receita em Risco</w:t>
            </w:r>
          </w:p>
        </w:tc>
      </w:tr>
    </w:tbl>
    <w:p w14:paraId="4A1AF122" w14:textId="77777777" w:rsidR="001E532C" w:rsidRDefault="001E532C">
      <w:pPr>
        <w:spacing w:after="4800"/>
      </w:pPr>
    </w:p>
    <w:p w14:paraId="06A18BB5" w14:textId="77777777" w:rsidR="001E532C" w:rsidRDefault="00000000">
      <w:pPr>
        <w:jc w:val="center"/>
      </w:pPr>
      <w:r>
        <w:rPr>
          <w:color w:val="777777"/>
          <w:sz w:val="20"/>
          <w:szCs w:val="20"/>
        </w:rPr>
        <w:lastRenderedPageBreak/>
        <w:t>MBA Xperiun  ·  Data Challenge 4  ·  Squad 23</w:t>
      </w:r>
    </w:p>
    <w:p w14:paraId="7E7956DF" w14:textId="77777777" w:rsidR="001E532C" w:rsidRDefault="00000000">
      <w:pPr>
        <w:jc w:val="center"/>
      </w:pPr>
      <w:r>
        <w:rPr>
          <w:color w:val="AAAAAA"/>
          <w:sz w:val="20"/>
          <w:szCs w:val="20"/>
        </w:rPr>
        <w:t>Maio/2026  ·  Uso Interno — Gestão Executiva</w:t>
      </w:r>
    </w:p>
    <w:p w14:paraId="1006AB17" w14:textId="77777777" w:rsidR="001E532C" w:rsidRDefault="00000000">
      <w:r>
        <w:br w:type="page"/>
      </w:r>
    </w:p>
    <w:p w14:paraId="6ADE516B" w14:textId="77777777" w:rsidR="001E532C" w:rsidRDefault="00000000">
      <w:pPr>
        <w:pStyle w:val="Ttulo1"/>
        <w:pBdr>
          <w:bottom w:val="single" w:sz="8" w:space="6" w:color="2E9CCA"/>
        </w:pBdr>
      </w:pPr>
      <w:r>
        <w:lastRenderedPageBreak/>
        <w:t>1. Sumário Executivo</w:t>
      </w:r>
    </w:p>
    <w:p w14:paraId="6DE65B52" w14:textId="77777777" w:rsidR="001E532C" w:rsidRDefault="00000000">
      <w:pPr>
        <w:spacing w:before="80" w:after="80"/>
      </w:pPr>
      <w:r>
        <w:t>Este documento apresenta os resultados da análise estratégica de churn realizada para a Seguradora Xperiun, cobrindo uma carteira de 120 mil apólices nos ramos de Automóvel, Vida e Residencial no período de janeiro/2020 a setembro/2025.</w:t>
      </w:r>
    </w:p>
    <w:p w14:paraId="394A56E5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532C" w14:paraId="5D6F0CEC" w14:textId="77777777">
        <w:tc>
          <w:tcPr>
            <w:tcW w:w="9360" w:type="dxa"/>
            <w:tcBorders>
              <w:top w:val="single" w:sz="12" w:space="0" w:color="2E9CC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45DA3" w14:textId="77777777" w:rsidR="001E532C" w:rsidRDefault="00000000">
            <w:pPr>
              <w:spacing w:after="60"/>
            </w:pPr>
            <w:r>
              <w:rPr>
                <w:b/>
                <w:bCs/>
                <w:color w:val="0D1F3C"/>
              </w:rPr>
              <w:t>A descoberta mais importante deste trabalho</w:t>
            </w:r>
          </w:p>
          <w:p w14:paraId="00B93D3D" w14:textId="77777777" w:rsidR="001E532C" w:rsidRDefault="00000000">
            <w:r>
              <w:rPr>
                <w:color w:val="444444"/>
              </w:rPr>
              <w:t>Nem todo cancelamento é churn. Ao separar os cancelamentos por falecimento do segurado ou venda do bem segurado — eventos inevitáveis sobre os quais a seguradora não pode atuar — a taxa de churn cai de 18,42% para 16,41%. Essa diferença muda completamente o diagnóstico: com o número correto, o indicador principal está abaixo da meta, e não acima dela. Analisar a carteira sem essa distinção superestima o problema e distorce as prioridades de retenção.</w:t>
            </w:r>
          </w:p>
        </w:tc>
      </w:tr>
    </w:tbl>
    <w:p w14:paraId="084FA9AF" w14:textId="77777777" w:rsidR="001E532C" w:rsidRDefault="001E532C">
      <w:pPr>
        <w:spacing w:after="120"/>
      </w:pPr>
    </w:p>
    <w:p w14:paraId="732D4562" w14:textId="77777777" w:rsidR="001E532C" w:rsidRDefault="00000000">
      <w:pPr>
        <w:spacing w:before="80" w:after="80"/>
      </w:pPr>
      <w:r>
        <w:t>Os principais achados do trabalho são:</w:t>
      </w:r>
    </w:p>
    <w:p w14:paraId="2ACBC441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Impacto financeiro: </w:t>
      </w:r>
      <w:r>
        <w:t>A carteira tem R$ 384,9M em receita potencial. Desse total, R$ 71,7M foram perdidos por churn gerenciável — o equivalente a 18,6% da receita esperada.</w:t>
      </w:r>
    </w:p>
    <w:p w14:paraId="6634AAA2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CAC e retenção: </w:t>
      </w:r>
      <w:r>
        <w:t>O custo de aquisição de clientes (CAC), representado pela comissão de venda, é recuperado em apenas 1,1 meses de prêmio. Apesar disso, R$ 2,78M em comissões foram desperdiçados em apólices que cancelaram antes de compensar o investimento.</w:t>
      </w:r>
    </w:p>
    <w:p w14:paraId="0D82EB76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Canal crítico: </w:t>
      </w:r>
      <w:r>
        <w:t>O Canal Digital combina a maior margem líquida (95%) com o maior churn — clientes adquiridos digitalmente cancelam com a mesma facilidade com que contratam.</w:t>
      </w:r>
    </w:p>
    <w:p w14:paraId="728FC2D7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Tempo de relacionamento: </w:t>
      </w:r>
      <w:r>
        <w:t>Clientes com maior tempo de relacionamento cancelam dramaticamente menos. Cada desvio-padrão a mais no tempo de casa reduz as chances de churn em 20,6%.</w:t>
      </w:r>
    </w:p>
    <w:p w14:paraId="10329C0F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Modelo preditivo: </w:t>
      </w:r>
      <w:r>
        <w:t>Um modelo preditivo identifica 65.730 apólices ativas em risco de churn, com R$ 17,8M de receita a preservar com ações de retenção direcionadas.</w:t>
      </w:r>
    </w:p>
    <w:p w14:paraId="009998EF" w14:textId="77777777" w:rsidR="001E532C" w:rsidRDefault="00000000">
      <w:r>
        <w:br w:type="page"/>
      </w:r>
    </w:p>
    <w:p w14:paraId="1F8CC61E" w14:textId="77777777" w:rsidR="001E532C" w:rsidRDefault="00000000">
      <w:pPr>
        <w:pStyle w:val="Ttulo1"/>
        <w:pBdr>
          <w:bottom w:val="single" w:sz="8" w:space="6" w:color="2E9CCA"/>
        </w:pBdr>
      </w:pPr>
      <w:r>
        <w:lastRenderedPageBreak/>
        <w:t>2. A Distinção que Muda Tudo</w:t>
      </w:r>
    </w:p>
    <w:p w14:paraId="769936B3" w14:textId="77777777" w:rsidR="001E532C" w:rsidRDefault="00000000">
      <w:pPr>
        <w:pStyle w:val="Ttulo2"/>
      </w:pPr>
      <w:r>
        <w:t>2.1 Cancelamento vs. Churn</w:t>
      </w:r>
    </w:p>
    <w:p w14:paraId="6ED47982" w14:textId="77777777" w:rsidR="001E532C" w:rsidRDefault="00000000">
      <w:pPr>
        <w:spacing w:before="80" w:after="80"/>
      </w:pPr>
      <w:r>
        <w:t>O mercado segurador utiliza frequentemente o termo churn para qualificar qualquer cancelamento de apólice. Este trabalho adota uma definição mais precisa, com consequências diretas para a gestão:</w:t>
      </w:r>
    </w:p>
    <w:p w14:paraId="684657DA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880"/>
        <w:gridCol w:w="1440"/>
        <w:gridCol w:w="1920"/>
      </w:tblGrid>
      <w:tr w:rsidR="001E532C" w14:paraId="1A11A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2820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Conceito</w:t>
            </w:r>
          </w:p>
        </w:tc>
        <w:tc>
          <w:tcPr>
            <w:tcW w:w="28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3CF9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  <w:tc>
          <w:tcPr>
            <w:tcW w:w="144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0547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Global</w:t>
            </w:r>
          </w:p>
        </w:tc>
        <w:tc>
          <w:tcPr>
            <w:tcW w:w="19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97E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Natureza</w:t>
            </w:r>
          </w:p>
        </w:tc>
      </w:tr>
      <w:tr w:rsidR="001E532C" w14:paraId="253BF1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55D66" w14:textId="77777777" w:rsidR="001E532C" w:rsidRDefault="00000000">
            <w:r>
              <w:rPr>
                <w:sz w:val="20"/>
                <w:szCs w:val="20"/>
              </w:rPr>
              <w:t>Cancelamento Total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CF2A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Encerramento por qualquer motivo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5363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18,42%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E0ED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Indicador bruto</w:t>
            </w:r>
          </w:p>
        </w:tc>
      </w:tr>
      <w:tr w:rsidR="001E532C" w14:paraId="7DEEAF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5BF05" w14:textId="77777777" w:rsidR="001E532C" w:rsidRDefault="00000000">
            <w:r>
              <w:rPr>
                <w:sz w:val="20"/>
                <w:szCs w:val="20"/>
              </w:rPr>
              <w:t>Churn Gerenciável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DC95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Cancelamento por motivo evitável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1834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16,41%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69DC1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KPI de retenção</w:t>
            </w:r>
          </w:p>
        </w:tc>
      </w:tr>
      <w:tr w:rsidR="001E532C" w14:paraId="16D056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D4DFC" w14:textId="77777777" w:rsidR="001E532C" w:rsidRDefault="00000000">
            <w:r>
              <w:rPr>
                <w:sz w:val="20"/>
                <w:szCs w:val="20"/>
              </w:rPr>
              <w:t>Churn Estrutural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585E6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Falecimento ou venda do bem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EC21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2,00%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8B7C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Irredutível</w:t>
            </w:r>
          </w:p>
        </w:tc>
      </w:tr>
    </w:tbl>
    <w:p w14:paraId="5199A946" w14:textId="77777777" w:rsidR="001E532C" w:rsidRDefault="001E532C">
      <w:pPr>
        <w:spacing w:after="120"/>
      </w:pPr>
    </w:p>
    <w:p w14:paraId="0EFFC364" w14:textId="77777777" w:rsidR="001E532C" w:rsidRDefault="00000000">
      <w:pPr>
        <w:spacing w:before="80" w:after="80"/>
      </w:pPr>
      <w:r>
        <w:t>Os 2,406 cancelamentos estruturais (falecimento: 678 | venda do bem: 1.728) não representam falha da seguradora — são eventos da vida do cliente. Incluí-los no KPI principal penaliza a gestão por algo fora de seu controle e distorce a avaliação de desempenho.</w:t>
      </w:r>
    </w:p>
    <w:p w14:paraId="04F78875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532C" w14:paraId="5CACB215" w14:textId="77777777">
        <w:tc>
          <w:tcPr>
            <w:tcW w:w="9360" w:type="dxa"/>
            <w:tcBorders>
              <w:top w:val="single" w:sz="12" w:space="0" w:color="2E9CC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A9BAA" w14:textId="77777777" w:rsidR="001E532C" w:rsidRDefault="00000000">
            <w:pPr>
              <w:spacing w:after="60"/>
            </w:pPr>
            <w:r>
              <w:rPr>
                <w:b/>
                <w:bCs/>
                <w:color w:val="1A5C36"/>
              </w:rPr>
              <w:t>Por que isso importa na prática</w:t>
            </w:r>
          </w:p>
          <w:p w14:paraId="0E729437" w14:textId="77777777" w:rsidR="001E532C" w:rsidRDefault="00000000">
            <w:r>
              <w:rPr>
                <w:color w:val="444444"/>
              </w:rPr>
              <w:t>Com o cancelamento total (18,42%), o indicador supera a meta média mensal de churn, sugerindo um problema crítico. Com o churn gerenciável (16,41%), o indicador fica abaixo da meta — o que muda radicalmente a urgência e o tipo de ação necessária. A diferença de 2 pontos percentuais representa R$ 3,97M em gap de receita que simplesmente não poderia ser evitado.</w:t>
            </w:r>
          </w:p>
        </w:tc>
      </w:tr>
    </w:tbl>
    <w:p w14:paraId="6838C0FE" w14:textId="77777777" w:rsidR="001E532C" w:rsidRDefault="001E532C">
      <w:pPr>
        <w:spacing w:after="120"/>
      </w:pPr>
    </w:p>
    <w:p w14:paraId="6450C9A8" w14:textId="77777777" w:rsidR="001E532C" w:rsidRDefault="00000000">
      <w:pPr>
        <w:pStyle w:val="Ttulo2"/>
      </w:pPr>
      <w:r>
        <w:t>2.2 Motivos Declarados de Churn</w:t>
      </w:r>
    </w:p>
    <w:p w14:paraId="0A5515C4" w14:textId="77777777" w:rsidR="001E532C" w:rsidRDefault="00000000">
      <w:pPr>
        <w:spacing w:before="80" w:after="80"/>
      </w:pPr>
      <w:r>
        <w:t>Entre os cancelamentos gerenciáveis, os principais motivos declarados pelos clientes são:</w:t>
      </w:r>
    </w:p>
    <w:p w14:paraId="7D30AA9C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80"/>
        <w:gridCol w:w="4080"/>
      </w:tblGrid>
      <w:tr w:rsidR="001E532C" w14:paraId="56629F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1B88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  <w:tc>
          <w:tcPr>
            <w:tcW w:w="16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09CB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Participação</w:t>
            </w:r>
          </w:p>
        </w:tc>
        <w:tc>
          <w:tcPr>
            <w:tcW w:w="40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A557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Natureza</w:t>
            </w:r>
          </w:p>
        </w:tc>
      </w:tr>
      <w:tr w:rsidR="001E532C" w14:paraId="41F0B7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0C59E" w14:textId="77777777" w:rsidR="001E532C" w:rsidRDefault="00000000">
            <w:r>
              <w:rPr>
                <w:sz w:val="20"/>
                <w:szCs w:val="20"/>
              </w:rPr>
              <w:t>Preço alto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9F8E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27,8%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F23E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Competitividade</w:t>
            </w:r>
          </w:p>
        </w:tc>
      </w:tr>
      <w:tr w:rsidR="001E532C" w14:paraId="311035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B6809" w14:textId="77777777" w:rsidR="001E532C" w:rsidRDefault="00000000">
            <w:r>
              <w:rPr>
                <w:sz w:val="20"/>
                <w:szCs w:val="20"/>
              </w:rPr>
              <w:t>Mudou para concorrente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2FB4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22,1%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DF296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Retenção / Fidelização</w:t>
            </w:r>
          </w:p>
        </w:tc>
      </w:tr>
      <w:tr w:rsidR="001E532C" w14:paraId="23E9CE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6A38D" w14:textId="77777777" w:rsidR="001E532C" w:rsidRDefault="00000000">
            <w:r>
              <w:rPr>
                <w:sz w:val="20"/>
                <w:szCs w:val="20"/>
              </w:rPr>
              <w:t>Não usa / não precisa mais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D434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16,8%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B83B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Engajamento / Valor percebido</w:t>
            </w:r>
          </w:p>
        </w:tc>
      </w:tr>
      <w:tr w:rsidR="001E532C" w14:paraId="6A4E8F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BC48C" w14:textId="77777777" w:rsidR="001E532C" w:rsidRDefault="00000000">
            <w:r>
              <w:rPr>
                <w:sz w:val="20"/>
                <w:szCs w:val="20"/>
              </w:rPr>
              <w:t>Dificuldade financeira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01CA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11,3%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72A4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Financeira / Social</w:t>
            </w:r>
          </w:p>
        </w:tc>
      </w:tr>
      <w:tr w:rsidR="001E532C" w14:paraId="614829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DAC09" w14:textId="77777777" w:rsidR="001E532C" w:rsidRDefault="00000000">
            <w:r>
              <w:rPr>
                <w:sz w:val="20"/>
                <w:szCs w:val="20"/>
              </w:rPr>
              <w:t>Insatisfação com atendimento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DAE4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14,0%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3F84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Qualidade de serviço</w:t>
            </w:r>
          </w:p>
        </w:tc>
      </w:tr>
      <w:tr w:rsidR="001E532C" w14:paraId="78487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EF4CA" w14:textId="77777777" w:rsidR="001E532C" w:rsidRDefault="00000000">
            <w:r>
              <w:rPr>
                <w:sz w:val="20"/>
                <w:szCs w:val="20"/>
              </w:rPr>
              <w:t>Não informado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1B16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8,0%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F1229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Desconhecido</w:t>
            </w:r>
          </w:p>
        </w:tc>
      </w:tr>
    </w:tbl>
    <w:p w14:paraId="0F230375" w14:textId="77777777" w:rsidR="001E532C" w:rsidRDefault="001E532C">
      <w:pPr>
        <w:spacing w:after="120"/>
      </w:pPr>
    </w:p>
    <w:p w14:paraId="4D486590" w14:textId="77777777" w:rsidR="001E532C" w:rsidRDefault="00000000">
      <w:pPr>
        <w:spacing w:before="80" w:after="80"/>
      </w:pPr>
      <w:r>
        <w:t>Preço e migração para concorrência somam quase 50% dos churns evitáveis — reforçando que o problema é majoritariamente de competitividade e percepção de valor, não de qualidade do produto.</w:t>
      </w:r>
    </w:p>
    <w:p w14:paraId="6D6D18C8" w14:textId="77777777" w:rsidR="001E532C" w:rsidRDefault="00000000">
      <w:r>
        <w:br w:type="page"/>
      </w:r>
    </w:p>
    <w:p w14:paraId="0D5C97D6" w14:textId="77777777" w:rsidR="001E532C" w:rsidRDefault="00000000">
      <w:pPr>
        <w:pStyle w:val="Ttulo1"/>
        <w:pBdr>
          <w:bottom w:val="single" w:sz="8" w:space="6" w:color="2E9CCA"/>
        </w:pBdr>
      </w:pPr>
      <w:r>
        <w:lastRenderedPageBreak/>
        <w:t>3. Panorama Financeiro da Carteira</w:t>
      </w:r>
    </w:p>
    <w:p w14:paraId="3439A4DD" w14:textId="77777777" w:rsidR="001E532C" w:rsidRDefault="00000000">
      <w:pPr>
        <w:pStyle w:val="Ttulo2"/>
      </w:pPr>
      <w:r>
        <w:t>3.1 Waterfall de Receita</w:t>
      </w:r>
    </w:p>
    <w:p w14:paraId="22768E00" w14:textId="77777777" w:rsidR="001E532C" w:rsidRDefault="00000000">
      <w:pPr>
        <w:spacing w:before="80" w:after="80"/>
      </w:pPr>
      <w:r>
        <w:t>O fluxo financeiro da carteira, do potencial máximo contratado até a receita líquida efetivamente retida pela seguradora:</w:t>
      </w:r>
    </w:p>
    <w:p w14:paraId="39325610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520"/>
        <w:gridCol w:w="2160"/>
      </w:tblGrid>
      <w:tr w:rsidR="001E532C" w14:paraId="43BFB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8944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5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CD4B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(R$)</w:t>
            </w:r>
          </w:p>
        </w:tc>
        <w:tc>
          <w:tcPr>
            <w:tcW w:w="216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9D0D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da Receita Esperada</w:t>
            </w:r>
          </w:p>
        </w:tc>
      </w:tr>
      <w:tr w:rsidR="001E532C" w14:paraId="230AB8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77B3C" w14:textId="77777777" w:rsidR="001E532C" w:rsidRDefault="00000000">
            <w:r>
              <w:rPr>
                <w:sz w:val="20"/>
                <w:szCs w:val="20"/>
              </w:rPr>
              <w:t>Receita Esperada (potencial máximo)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F6F1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384.911.883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6557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100,0%</w:t>
            </w:r>
          </w:p>
        </w:tc>
      </w:tr>
      <w:tr w:rsidR="001E532C" w14:paraId="2259CD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8D51D" w14:textId="77777777" w:rsidR="001E532C" w:rsidRDefault="00000000">
            <w:r>
              <w:rPr>
                <w:sz w:val="20"/>
                <w:szCs w:val="20"/>
              </w:rPr>
              <w:t xml:space="preserve">  (−) Gap por Churn Estrutural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4A4E9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(3.972.035)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73D5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(1,0%)</w:t>
            </w:r>
          </w:p>
        </w:tc>
      </w:tr>
      <w:tr w:rsidR="001E532C" w14:paraId="2F6153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ED5D0" w14:textId="77777777" w:rsidR="001E532C" w:rsidRDefault="00000000">
            <w:r>
              <w:rPr>
                <w:sz w:val="20"/>
                <w:szCs w:val="20"/>
              </w:rPr>
              <w:t xml:space="preserve">  (−) Gap por Churn Gerenciável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D6C9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(71.666.979)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CE45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(18,6%)</w:t>
            </w:r>
          </w:p>
        </w:tc>
      </w:tr>
      <w:tr w:rsidR="001E532C" w14:paraId="0B5305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3B471" w14:textId="77777777" w:rsidR="001E532C" w:rsidRDefault="00000000">
            <w:r>
              <w:rPr>
                <w:sz w:val="20"/>
                <w:szCs w:val="20"/>
              </w:rPr>
              <w:t>= Receita Realizada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E2D6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309.272.869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1179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80,4%</w:t>
            </w:r>
          </w:p>
        </w:tc>
      </w:tr>
      <w:tr w:rsidR="001E532C" w14:paraId="55E3EB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86D7A" w14:textId="77777777" w:rsidR="001E532C" w:rsidRDefault="00000000">
            <w:r>
              <w:rPr>
                <w:sz w:val="20"/>
                <w:szCs w:val="20"/>
              </w:rPr>
              <w:t xml:space="preserve">  (−) Comissão de Distribuição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C946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(33.136.595)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6C86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(8,6%)</w:t>
            </w:r>
          </w:p>
        </w:tc>
      </w:tr>
      <w:tr w:rsidR="001E532C" w14:paraId="0EA866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4D272" w14:textId="77777777" w:rsidR="001E532C" w:rsidRDefault="00000000">
            <w:r>
              <w:rPr>
                <w:sz w:val="20"/>
                <w:szCs w:val="20"/>
              </w:rPr>
              <w:t>= Receita Líquida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A124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276.136.274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C8789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71,7%</w:t>
            </w:r>
          </w:p>
        </w:tc>
      </w:tr>
    </w:tbl>
    <w:p w14:paraId="6D7B386E" w14:textId="77777777" w:rsidR="001E532C" w:rsidRDefault="001E532C">
      <w:pPr>
        <w:spacing w:after="120"/>
      </w:pPr>
    </w:p>
    <w:p w14:paraId="2B30BBE3" w14:textId="77777777" w:rsidR="001E532C" w:rsidRDefault="00000000">
      <w:pPr>
        <w:spacing w:before="80" w:after="80"/>
      </w:pPr>
      <w:r>
        <w:t>Dos R$ 75,6M perdidos em cancelamentos totais, R$ 71,7M (94,8%) eram evitáveis. O custo de distribuição de R$ 33,1M é fixo — o único componente genuinamente variável e controlável é o gap de churn gerenciável.</w:t>
      </w:r>
    </w:p>
    <w:p w14:paraId="07A4CAE9" w14:textId="77777777" w:rsidR="001E532C" w:rsidRDefault="001E532C">
      <w:pPr>
        <w:spacing w:after="120"/>
      </w:pPr>
    </w:p>
    <w:p w14:paraId="5808FF25" w14:textId="77777777" w:rsidR="001E532C" w:rsidRDefault="00000000">
      <w:pPr>
        <w:pStyle w:val="Ttulo2"/>
      </w:pPr>
      <w:r>
        <w:t>3.2 Indicadores-Chave de Rentabilidade</w:t>
      </w:r>
    </w:p>
    <w:p w14:paraId="6C31189D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3744"/>
      </w:tblGrid>
      <w:tr w:rsidR="001E532C" w14:paraId="43EEF136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27A3" w14:textId="77777777" w:rsidR="001E532C" w:rsidRDefault="00000000">
            <w:r>
              <w:rPr>
                <w:color w:val="444444"/>
                <w:sz w:val="20"/>
                <w:szCs w:val="20"/>
              </w:rPr>
              <w:t>Receita Esperada (potencial total)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6191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R$ 384.911.883</w:t>
            </w:r>
          </w:p>
        </w:tc>
      </w:tr>
      <w:tr w:rsidR="001E532C" w14:paraId="6CF7CCBA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7012" w14:textId="77777777" w:rsidR="001E532C" w:rsidRDefault="00000000">
            <w:r>
              <w:rPr>
                <w:color w:val="444444"/>
                <w:sz w:val="20"/>
                <w:szCs w:val="20"/>
              </w:rPr>
              <w:t>Receita Realizada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3902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R$ 309.272.869</w:t>
            </w:r>
          </w:p>
        </w:tc>
      </w:tr>
      <w:tr w:rsidR="001E532C" w14:paraId="520AC55C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F4F3" w14:textId="77777777" w:rsidR="001E532C" w:rsidRDefault="00000000">
            <w:r>
              <w:rPr>
                <w:color w:val="444444"/>
                <w:sz w:val="20"/>
                <w:szCs w:val="20"/>
              </w:rPr>
              <w:t>Receita Líquida (após comissões)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185F" w14:textId="77777777" w:rsidR="001E532C" w:rsidRDefault="00000000">
            <w:pPr>
              <w:jc w:val="right"/>
            </w:pPr>
            <w:r>
              <w:rPr>
                <w:b/>
                <w:bCs/>
                <w:color w:val="0D1F3C"/>
                <w:sz w:val="20"/>
                <w:szCs w:val="20"/>
              </w:rPr>
              <w:t>R$ 276.136.274</w:t>
            </w:r>
          </w:p>
        </w:tc>
      </w:tr>
      <w:tr w:rsidR="001E532C" w14:paraId="2201FB08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33E4" w14:textId="77777777" w:rsidR="001E532C" w:rsidRDefault="00000000">
            <w:r>
              <w:rPr>
                <w:color w:val="444444"/>
                <w:sz w:val="20"/>
                <w:szCs w:val="20"/>
              </w:rPr>
              <w:t>Margem Líquida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60A9" w14:textId="77777777" w:rsidR="001E532C" w:rsidRDefault="00000000">
            <w:pPr>
              <w:jc w:val="right"/>
            </w:pPr>
            <w:r>
              <w:rPr>
                <w:b/>
                <w:bCs/>
                <w:color w:val="0D1F3C"/>
                <w:sz w:val="20"/>
                <w:szCs w:val="20"/>
              </w:rPr>
              <w:t>89,29%</w:t>
            </w:r>
          </w:p>
        </w:tc>
      </w:tr>
      <w:tr w:rsidR="001E532C" w14:paraId="700338EE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1EE6" w14:textId="77777777" w:rsidR="001E532C" w:rsidRDefault="00000000">
            <w:r>
              <w:rPr>
                <w:color w:val="444444"/>
                <w:sz w:val="20"/>
                <w:szCs w:val="20"/>
              </w:rPr>
              <w:t>Gap de Receita — Churn Gerenciável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31D9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R$ 71.666.979</w:t>
            </w:r>
          </w:p>
        </w:tc>
      </w:tr>
      <w:tr w:rsidR="001E532C" w14:paraId="56E5C9B8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0044" w14:textId="77777777" w:rsidR="001E532C" w:rsidRDefault="00000000">
            <w:r>
              <w:rPr>
                <w:color w:val="444444"/>
                <w:sz w:val="20"/>
                <w:szCs w:val="20"/>
              </w:rPr>
              <w:t>CAC Perdido em Churns Gerenciáveis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09A4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R$ 2.782.092</w:t>
            </w:r>
          </w:p>
        </w:tc>
      </w:tr>
      <w:tr w:rsidR="001E532C" w14:paraId="0FF3BEC1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7C53" w14:textId="77777777" w:rsidR="001E532C" w:rsidRDefault="00000000">
            <w:r>
              <w:rPr>
                <w:color w:val="444444"/>
                <w:sz w:val="20"/>
                <w:szCs w:val="20"/>
              </w:rPr>
              <w:t>Payback do CAC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45E2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1,1 meses</w:t>
            </w:r>
          </w:p>
        </w:tc>
      </w:tr>
      <w:tr w:rsidR="001E532C" w14:paraId="4504D4BB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A8D0" w14:textId="77777777" w:rsidR="001E532C" w:rsidRDefault="00000000">
            <w:r>
              <w:rPr>
                <w:color w:val="444444"/>
                <w:sz w:val="20"/>
                <w:szCs w:val="20"/>
              </w:rPr>
              <w:t>Valor Médio por Apólice (contratado)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FDF7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R$ 3.208</w:t>
            </w:r>
          </w:p>
        </w:tc>
      </w:tr>
      <w:tr w:rsidR="001E532C" w14:paraId="5C1462C6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E844" w14:textId="77777777" w:rsidR="001E532C" w:rsidRDefault="00000000">
            <w:r>
              <w:rPr>
                <w:color w:val="444444"/>
                <w:sz w:val="20"/>
                <w:szCs w:val="20"/>
              </w:rPr>
              <w:t>Valor Médio por Apólice (realizado)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6CD7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R$ 2.577</w:t>
            </w:r>
          </w:p>
        </w:tc>
      </w:tr>
      <w:tr w:rsidR="001E532C" w14:paraId="19135397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2AB6" w14:textId="77777777" w:rsidR="001E532C" w:rsidRDefault="00000000">
            <w:r>
              <w:rPr>
                <w:color w:val="444444"/>
                <w:sz w:val="20"/>
                <w:szCs w:val="20"/>
              </w:rPr>
              <w:t>Destruição de valor por churn / apólice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475B" w14:textId="77777777" w:rsidR="001E532C" w:rsidRDefault="00000000">
            <w:pPr>
              <w:jc w:val="right"/>
            </w:pPr>
            <w:r>
              <w:rPr>
                <w:b/>
                <w:bCs/>
                <w:color w:val="0D1F3C"/>
                <w:sz w:val="20"/>
                <w:szCs w:val="20"/>
              </w:rPr>
              <w:t>R$ 631 (19,7%)</w:t>
            </w:r>
          </w:p>
        </w:tc>
      </w:tr>
    </w:tbl>
    <w:p w14:paraId="157A800E" w14:textId="77777777" w:rsidR="001E532C" w:rsidRDefault="00000000">
      <w:r>
        <w:br w:type="page"/>
      </w:r>
    </w:p>
    <w:p w14:paraId="178F5568" w14:textId="77777777" w:rsidR="001E532C" w:rsidRDefault="00000000">
      <w:pPr>
        <w:pStyle w:val="Ttulo1"/>
        <w:pBdr>
          <w:bottom w:val="single" w:sz="8" w:space="6" w:color="2E9CCA"/>
        </w:pBdr>
      </w:pPr>
      <w:r>
        <w:lastRenderedPageBreak/>
        <w:t>4. Análise por Dimensão de Negócio</w:t>
      </w:r>
    </w:p>
    <w:p w14:paraId="70CC32B9" w14:textId="77777777" w:rsidR="001E532C" w:rsidRDefault="00000000">
      <w:pPr>
        <w:pStyle w:val="Ttulo2"/>
      </w:pPr>
      <w:r>
        <w:t>4.1 Canal de Distribuição — A Principal Alavanca</w:t>
      </w:r>
    </w:p>
    <w:p w14:paraId="64C2C908" w14:textId="77777777" w:rsidR="001E532C" w:rsidRDefault="00000000">
      <w:pPr>
        <w:spacing w:before="80" w:after="80"/>
      </w:pPr>
      <w:r>
        <w:t>O canal é o fator mais diferenciador de risco e rentabilidade na carteira. Há uma tensão evidente entre margem e retenção:</w:t>
      </w:r>
    </w:p>
    <w:p w14:paraId="1FA7326B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160"/>
      </w:tblGrid>
      <w:tr w:rsidR="001E532C" w14:paraId="106D87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E5AC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180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D72B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Margem Líquida</w:t>
            </w:r>
          </w:p>
        </w:tc>
        <w:tc>
          <w:tcPr>
            <w:tcW w:w="180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64D0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Churn</w:t>
            </w:r>
          </w:p>
        </w:tc>
        <w:tc>
          <w:tcPr>
            <w:tcW w:w="180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5162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Payback CAC</w:t>
            </w:r>
          </w:p>
        </w:tc>
        <w:tc>
          <w:tcPr>
            <w:tcW w:w="216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03EE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 de Risco</w:t>
            </w:r>
          </w:p>
        </w:tc>
      </w:tr>
      <w:tr w:rsidR="001E532C" w14:paraId="725379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4CCC9" w14:textId="77777777" w:rsidR="001E532C" w:rsidRDefault="00000000">
            <w:r>
              <w:rPr>
                <w:sz w:val="20"/>
                <w:szCs w:val="20"/>
              </w:rPr>
              <w:t>Digital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1223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95,0%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9B69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DFA26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0,5 meses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2481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🔴 Alto risco de churn</w:t>
            </w:r>
          </w:p>
        </w:tc>
      </w:tr>
      <w:tr w:rsidR="001E532C" w14:paraId="2C1457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6C3EB" w14:textId="77777777" w:rsidR="001E532C" w:rsidRDefault="00000000">
            <w:r>
              <w:rPr>
                <w:sz w:val="20"/>
                <w:szCs w:val="20"/>
              </w:rPr>
              <w:t>Direto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6D46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92,0%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0536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D8A49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0,9 meses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EFED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🟡 Risco moderado</w:t>
            </w:r>
          </w:p>
        </w:tc>
      </w:tr>
      <w:tr w:rsidR="001E532C" w14:paraId="068990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5F7EC" w14:textId="77777777" w:rsidR="001E532C" w:rsidRDefault="00000000">
            <w:r>
              <w:rPr>
                <w:sz w:val="20"/>
                <w:szCs w:val="20"/>
              </w:rPr>
              <w:t>Corretor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4CF2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86,3%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B203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Médio-baixo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0E30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1,5 meses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1A08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🟡 Risco moderado</w:t>
            </w:r>
          </w:p>
        </w:tc>
      </w:tr>
      <w:tr w:rsidR="001E532C" w14:paraId="7B47CD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CDC7F" w14:textId="77777777" w:rsidR="001E532C" w:rsidRDefault="00000000">
            <w:r>
              <w:rPr>
                <w:sz w:val="20"/>
                <w:szCs w:val="20"/>
              </w:rPr>
              <w:t>Parceria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3DF4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82,0%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9C39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264F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1,9 meses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8D03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🔴 Alto risco de churn</w:t>
            </w:r>
          </w:p>
        </w:tc>
      </w:tr>
    </w:tbl>
    <w:p w14:paraId="0CB3ED0B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532C" w14:paraId="26E92E09" w14:textId="77777777">
        <w:tc>
          <w:tcPr>
            <w:tcW w:w="9360" w:type="dxa"/>
            <w:tcBorders>
              <w:top w:val="single" w:sz="12" w:space="0" w:color="2E9CC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980DB" w14:textId="77777777" w:rsidR="001E532C" w:rsidRDefault="00000000">
            <w:pPr>
              <w:spacing w:after="60"/>
            </w:pPr>
            <w:r>
              <w:rPr>
                <w:b/>
                <w:bCs/>
                <w:color w:val="0D1F3C"/>
              </w:rPr>
              <w:t>Insight estratégico — Canal Digital</w:t>
            </w:r>
          </w:p>
          <w:p w14:paraId="34F144CD" w14:textId="77777777" w:rsidR="001E532C" w:rsidRDefault="00000000">
            <w:r>
              <w:rPr>
                <w:color w:val="444444"/>
              </w:rPr>
              <w:t>O Canal Digital combina a maior margem líquida (95%) com o maior índice de churn. Clientes adquiridos digitalmente entram sem fricção e cancelam com a mesma facilidade. O modelo confirma: apólices do canal Digital têm 13,7% a mais de chance de churn em relação à referência. A solução não é abandonar o canal — é criar mecanismos de engajamento pós-venda (comunicação proativa, facilidade de upgrade, lembretes de valor) que aumentem a percepção de valor após a contratação.</w:t>
            </w:r>
          </w:p>
        </w:tc>
      </w:tr>
    </w:tbl>
    <w:p w14:paraId="5A97E6A2" w14:textId="77777777" w:rsidR="001E532C" w:rsidRDefault="001E532C">
      <w:pPr>
        <w:spacing w:after="120"/>
      </w:pPr>
    </w:p>
    <w:p w14:paraId="1077CD1D" w14:textId="77777777" w:rsidR="001E532C" w:rsidRDefault="00000000">
      <w:pPr>
        <w:pStyle w:val="Ttulo2"/>
      </w:pPr>
      <w:r>
        <w:t>4.2 Ramo de Seguro — Automóvel Concentra o Risco</w:t>
      </w:r>
    </w:p>
    <w:p w14:paraId="5F049977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800"/>
        <w:gridCol w:w="2520"/>
        <w:gridCol w:w="2520"/>
      </w:tblGrid>
      <w:tr w:rsidR="001E532C" w14:paraId="0650A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5275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Ramo</w:t>
            </w:r>
          </w:p>
        </w:tc>
        <w:tc>
          <w:tcPr>
            <w:tcW w:w="180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1F62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Churn Evitável</w:t>
            </w:r>
          </w:p>
        </w:tc>
        <w:tc>
          <w:tcPr>
            <w:tcW w:w="25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B405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 de Receita</w:t>
            </w:r>
          </w:p>
        </w:tc>
        <w:tc>
          <w:tcPr>
            <w:tcW w:w="25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C6E1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Participação no Gap Total</w:t>
            </w:r>
          </w:p>
        </w:tc>
      </w:tr>
      <w:tr w:rsidR="001E532C" w14:paraId="7F2BE30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676B5" w14:textId="77777777" w:rsidR="001E532C" w:rsidRDefault="00000000">
            <w:r>
              <w:rPr>
                <w:sz w:val="20"/>
                <w:szCs w:val="20"/>
              </w:rPr>
              <w:t>Automóvel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4E3F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16,86%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9FE8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R$ 57.303.359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74B2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80%</w:t>
            </w:r>
          </w:p>
        </w:tc>
      </w:tr>
      <w:tr w:rsidR="001E532C" w14:paraId="6CB6B7A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149AD" w14:textId="77777777" w:rsidR="001E532C" w:rsidRDefault="00000000">
            <w:r>
              <w:rPr>
                <w:sz w:val="20"/>
                <w:szCs w:val="20"/>
              </w:rPr>
              <w:t>Vida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44C4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15,69%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F6F9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R$ 8.965.148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83930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13%</w:t>
            </w:r>
          </w:p>
        </w:tc>
      </w:tr>
      <w:tr w:rsidR="001E532C" w14:paraId="6C641C7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0A457" w14:textId="77777777" w:rsidR="001E532C" w:rsidRDefault="00000000">
            <w:r>
              <w:rPr>
                <w:sz w:val="20"/>
                <w:szCs w:val="20"/>
              </w:rPr>
              <w:t>Residencial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D5E4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16,37%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64D8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R$ 5.405.493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9844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8%</w:t>
            </w:r>
          </w:p>
        </w:tc>
      </w:tr>
    </w:tbl>
    <w:p w14:paraId="57A3D891" w14:textId="77777777" w:rsidR="001E532C" w:rsidRDefault="001E532C">
      <w:pPr>
        <w:spacing w:after="120"/>
      </w:pPr>
    </w:p>
    <w:p w14:paraId="43B81176" w14:textId="77777777" w:rsidR="001E532C" w:rsidRDefault="00000000">
      <w:pPr>
        <w:spacing w:before="80" w:after="80"/>
      </w:pPr>
      <w:r>
        <w:t>Automóvel responde por 80% do gap de receita evitável, tornando-o a prioridade absoluta em qualquer programa de retenção. O maior LTV médio do ramo (R$ 4.000 vs. R$ 1.120 em Vida) amplifica ainda mais o impacto financeiro de cada churn nesse segmento.</w:t>
      </w:r>
    </w:p>
    <w:p w14:paraId="0782AD18" w14:textId="77777777" w:rsidR="001E532C" w:rsidRDefault="001E532C">
      <w:pPr>
        <w:spacing w:after="120"/>
      </w:pPr>
    </w:p>
    <w:p w14:paraId="3B37214D" w14:textId="77777777" w:rsidR="001E532C" w:rsidRDefault="00000000">
      <w:pPr>
        <w:pStyle w:val="Ttulo2"/>
      </w:pPr>
      <w:r>
        <w:t>4.3 Vigência do Contrato — Comprometimento Importa</w:t>
      </w:r>
    </w:p>
    <w:p w14:paraId="4D05478F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E532C" w14:paraId="73F08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28D1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Vigência</w:t>
            </w:r>
          </w:p>
        </w:tc>
        <w:tc>
          <w:tcPr>
            <w:tcW w:w="31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BB08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de Cancelamento</w:t>
            </w:r>
          </w:p>
        </w:tc>
        <w:tc>
          <w:tcPr>
            <w:tcW w:w="31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0B55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Variação vs. Média</w:t>
            </w:r>
          </w:p>
        </w:tc>
      </w:tr>
      <w:tr w:rsidR="001E532C" w14:paraId="1C6AEF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14218" w14:textId="77777777" w:rsidR="001E532C" w:rsidRDefault="00000000">
            <w:r>
              <w:rPr>
                <w:sz w:val="20"/>
                <w:szCs w:val="20"/>
              </w:rPr>
              <w:t>6 meses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1889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19,53%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18B5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+1,11 p.p.</w:t>
            </w:r>
          </w:p>
        </w:tc>
      </w:tr>
      <w:tr w:rsidR="001E532C" w14:paraId="66ECCE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4A81E" w14:textId="77777777" w:rsidR="001E532C" w:rsidRDefault="00000000">
            <w:r>
              <w:rPr>
                <w:sz w:val="20"/>
                <w:szCs w:val="20"/>
              </w:rPr>
              <w:t>12 meses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26CA7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18,61%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F0FC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+0,19 p.p.</w:t>
            </w:r>
          </w:p>
        </w:tc>
      </w:tr>
      <w:tr w:rsidR="001E532C" w14:paraId="79CC63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99789" w14:textId="77777777" w:rsidR="001E532C" w:rsidRDefault="00000000">
            <w:r>
              <w:rPr>
                <w:sz w:val="20"/>
                <w:szCs w:val="20"/>
              </w:rPr>
              <w:t>24 meses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717A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16,75%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3DE1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-1,67 p.p.</w:t>
            </w:r>
          </w:p>
        </w:tc>
      </w:tr>
    </w:tbl>
    <w:p w14:paraId="3108D6AF" w14:textId="77777777" w:rsidR="001E532C" w:rsidRDefault="001E532C">
      <w:pPr>
        <w:spacing w:after="120"/>
      </w:pPr>
    </w:p>
    <w:p w14:paraId="3B20CD38" w14:textId="77777777" w:rsidR="001E532C" w:rsidRDefault="00000000">
      <w:pPr>
        <w:spacing w:before="80" w:after="80"/>
      </w:pPr>
      <w:r>
        <w:t>Há uma relação clara: quanto mais longo o contrato, menor o churn. Clientes que escolhem contratos de 24 meses têm 2,78 pontos percentuais menos churn que os de 6 meses — provavelmente por maior comprometimento inicial e maior aversão ao risco. Incentivar a migração de contratos semestrais para anuais ou bianuais (desconto proporcional, benefícios de fidelidade) é uma alavanca de retenção de baixo custo e alto impacto.</w:t>
      </w:r>
    </w:p>
    <w:p w14:paraId="746DA86B" w14:textId="77777777" w:rsidR="001E532C" w:rsidRDefault="001E532C">
      <w:pPr>
        <w:spacing w:after="120"/>
      </w:pPr>
    </w:p>
    <w:p w14:paraId="2DE3113A" w14:textId="77777777" w:rsidR="001E532C" w:rsidRDefault="00000000">
      <w:pPr>
        <w:pStyle w:val="Ttulo2"/>
      </w:pPr>
      <w:r>
        <w:t>4.4 Apólices Suspensas — Inadimplência, não Insatisfação</w:t>
      </w:r>
    </w:p>
    <w:p w14:paraId="7B189763" w14:textId="77777777" w:rsidR="001E532C" w:rsidRDefault="00000000">
      <w:pPr>
        <w:spacing w:before="80" w:after="80"/>
      </w:pPr>
      <w:r>
        <w:t>410 apólices (0,34% da carteira) estão com cobrança suspensa por falha de pagamento, representando R$ 993.641 em receita imediata em risco. É importante distinguir esse grupo do churn voluntário:</w:t>
      </w:r>
    </w:p>
    <w:p w14:paraId="7974AF71" w14:textId="77777777" w:rsidR="001E532C" w:rsidRDefault="001E532C">
      <w:pPr>
        <w:spacing w:after="120"/>
      </w:pPr>
    </w:p>
    <w:p w14:paraId="0C7B7345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Churn voluntário: </w:t>
      </w:r>
      <w:r>
        <w:t>O churn gerenciável reflete uma decisão do cliente de encerrar o contrato por insatisfação ou migração para concorrente.</w:t>
      </w:r>
    </w:p>
    <w:p w14:paraId="7701E339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Suspensão por inadimplência: </w:t>
      </w:r>
      <w:r>
        <w:t>A suspensão reflete, na maioria dos casos, uma dificuldade financeira pontual — cartão recusado, débito sem saldo — sem que haja intenção de cancelar. Cartão de Crédito concentra 38% dos casos suspensos, sugerindo recusas técnicas de cobrança como causa principal.</w:t>
      </w:r>
    </w:p>
    <w:p w14:paraId="1E76F4A6" w14:textId="77777777" w:rsidR="001E532C" w:rsidRDefault="001E532C">
      <w:pPr>
        <w:spacing w:after="120"/>
      </w:pPr>
    </w:p>
    <w:p w14:paraId="5494505B" w14:textId="77777777" w:rsidR="001E532C" w:rsidRDefault="00000000">
      <w:pPr>
        <w:spacing w:before="80" w:after="80"/>
      </w:pPr>
      <w:r>
        <w:t>A ação recomendada para esse grupo é de recuperação proativa (contato para atualização dos dados de pagamento ou renegociação), não de retenção. Se regularizados rapidamente, esses clientes têm alto potencial de permanecer na carteira.</w:t>
      </w:r>
    </w:p>
    <w:p w14:paraId="58DB9AE8" w14:textId="77777777" w:rsidR="001E532C" w:rsidRDefault="00000000">
      <w:r>
        <w:br w:type="page"/>
      </w:r>
    </w:p>
    <w:p w14:paraId="7BD2AD0A" w14:textId="77777777" w:rsidR="001E532C" w:rsidRDefault="00000000">
      <w:pPr>
        <w:pStyle w:val="Ttulo1"/>
        <w:pBdr>
          <w:bottom w:val="single" w:sz="8" w:space="6" w:color="2E9CCA"/>
        </w:pBdr>
      </w:pPr>
      <w:r>
        <w:lastRenderedPageBreak/>
        <w:t>5. Modelo Preditivo de Risco de Churn</w:t>
      </w:r>
    </w:p>
    <w:p w14:paraId="5C455503" w14:textId="77777777" w:rsidR="001E532C" w:rsidRDefault="00000000">
      <w:pPr>
        <w:pStyle w:val="Ttulo2"/>
      </w:pPr>
      <w:r>
        <w:t>5.1 Por que Regressão Logística</w:t>
      </w:r>
    </w:p>
    <w:p w14:paraId="6ADB4202" w14:textId="77777777" w:rsidR="001E532C" w:rsidRDefault="00000000">
      <w:pPr>
        <w:spacing w:before="80" w:after="80"/>
      </w:pPr>
      <w:r>
        <w:t>Entre as diversas técnicas de modelagem preditiva disponíveis, a Regressão Logística foi escolhida deliberadamente. O motivo não é técnico — é estratégico:</w:t>
      </w:r>
    </w:p>
    <w:p w14:paraId="78803278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532C" w14:paraId="5E70BA8B" w14:textId="77777777">
        <w:tc>
          <w:tcPr>
            <w:tcW w:w="9360" w:type="dxa"/>
            <w:tcBorders>
              <w:top w:val="single" w:sz="12" w:space="0" w:color="2E9CC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D2D96" w14:textId="77777777" w:rsidR="001E532C" w:rsidRDefault="00000000">
            <w:pPr>
              <w:spacing w:after="60"/>
            </w:pPr>
            <w:r>
              <w:rPr>
                <w:b/>
                <w:bCs/>
                <w:color w:val="0D1F3C"/>
              </w:rPr>
              <w:t>Interpretabilidade como requisito de negócio</w:t>
            </w:r>
          </w:p>
          <w:p w14:paraId="1F6AC769" w14:textId="77777777" w:rsidR="001E532C" w:rsidRDefault="00000000">
            <w:r>
              <w:rPr>
                <w:color w:val="444444"/>
              </w:rPr>
              <w:t>Cada coeficiente do modelo se traduz diretamente em um Odds Ratio: um número que diz, em linguagem de negócio, o quanto uma variável aumenta ou reduz as chances de churn. Um modelo de Gradient Boosting poderia ter AUC ligeiramente superior, mas não permitiria dizer 'clientes do Canal Digital têm 13,7% a mais de chance de cancelar'. A Regressão Logística entrega explicação, não apenas predição.</w:t>
            </w:r>
          </w:p>
        </w:tc>
      </w:tr>
    </w:tbl>
    <w:p w14:paraId="25B15791" w14:textId="77777777" w:rsidR="001E532C" w:rsidRDefault="001E532C">
      <w:pPr>
        <w:spacing w:after="120"/>
      </w:pPr>
    </w:p>
    <w:p w14:paraId="1F790CD3" w14:textId="77777777" w:rsidR="001E532C" w:rsidRDefault="00000000">
      <w:pPr>
        <w:pStyle w:val="Ttulo2"/>
      </w:pPr>
      <w:r>
        <w:t>5.2 O que o Modelo Revelou</w:t>
      </w:r>
    </w:p>
    <w:p w14:paraId="01EDC882" w14:textId="77777777" w:rsidR="001E532C" w:rsidRDefault="00000000">
      <w:pPr>
        <w:spacing w:before="80" w:after="80"/>
      </w:pPr>
      <w:r>
        <w:t>Após seleção rigorosa de variáveis (cinco métodos em consenso: Bivariada, Lasso, Stepwise, Wald e Boruta), nove fatores explicam o churn da carteira Xperiun:</w:t>
      </w:r>
    </w:p>
    <w:p w14:paraId="1A31CC24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1421"/>
        <w:gridCol w:w="1070"/>
        <w:gridCol w:w="1174"/>
        <w:gridCol w:w="3550"/>
      </w:tblGrid>
      <w:tr w:rsidR="001E532C" w14:paraId="5D1BB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3B4E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Fator</w:t>
            </w:r>
          </w:p>
        </w:tc>
        <w:tc>
          <w:tcPr>
            <w:tcW w:w="144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C8A0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Odds Ratio</w:t>
            </w:r>
          </w:p>
        </w:tc>
        <w:tc>
          <w:tcPr>
            <w:tcW w:w="10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58D2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p-valor</w:t>
            </w:r>
          </w:p>
        </w:tc>
        <w:tc>
          <w:tcPr>
            <w:tcW w:w="10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610F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Direção</w:t>
            </w:r>
          </w:p>
        </w:tc>
        <w:tc>
          <w:tcPr>
            <w:tcW w:w="360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3E15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Interpretação de Negócio</w:t>
            </w:r>
          </w:p>
        </w:tc>
      </w:tr>
      <w:tr w:rsidR="001E532C" w14:paraId="62102C3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8545F" w14:textId="77777777" w:rsidR="001E532C" w:rsidRDefault="00000000">
            <w:r>
              <w:rPr>
                <w:sz w:val="20"/>
                <w:szCs w:val="20"/>
              </w:rPr>
              <w:t>Tempo de relacionamento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9696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0,794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E34D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D14F0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Protege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8FAF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Cada ano a mais reduz o risco em ~20%</w:t>
            </w:r>
          </w:p>
        </w:tc>
      </w:tr>
      <w:tr w:rsidR="001E532C" w14:paraId="0BDCFED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D486C" w14:textId="77777777" w:rsidR="001E532C" w:rsidRDefault="00000000">
            <w:r>
              <w:rPr>
                <w:sz w:val="20"/>
                <w:szCs w:val="20"/>
              </w:rPr>
              <w:t>Cobertura Premium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0162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0,849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F8601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49D0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Protege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9902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Maior investimento = maior percepção de valor</w:t>
            </w:r>
          </w:p>
        </w:tc>
      </w:tr>
      <w:tr w:rsidR="001E532C" w14:paraId="66309F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8640E" w14:textId="77777777" w:rsidR="001E532C" w:rsidRDefault="00000000">
            <w:r>
              <w:rPr>
                <w:sz w:val="20"/>
                <w:szCs w:val="20"/>
              </w:rPr>
              <w:t>Canal Corretor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3358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0,882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9E1C6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73F5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Protege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522A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Relacionamento humano retém clientes</w:t>
            </w:r>
          </w:p>
        </w:tc>
      </w:tr>
      <w:tr w:rsidR="001E532C" w14:paraId="150D43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C8672" w14:textId="77777777" w:rsidR="001E532C" w:rsidRDefault="00000000">
            <w:r>
              <w:rPr>
                <w:sz w:val="20"/>
                <w:szCs w:val="20"/>
              </w:rPr>
              <w:t>Vigência do contrato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EC87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0,958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E2DA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AACD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Protege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4DAD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Contratos mais longos = mais comprometimento</w:t>
            </w:r>
          </w:p>
        </w:tc>
      </w:tr>
      <w:tr w:rsidR="001E532C" w14:paraId="419A1A0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A1333" w14:textId="77777777" w:rsidR="001E532C" w:rsidRDefault="00000000">
            <w:r>
              <w:rPr>
                <w:sz w:val="20"/>
                <w:szCs w:val="20"/>
              </w:rPr>
              <w:t>Faixa etária 36-45 anos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F4CB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0,981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EE35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0,066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573A7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Tendência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293B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Efeito protetor leve, não confirmado</w:t>
            </w:r>
          </w:p>
        </w:tc>
      </w:tr>
      <w:tr w:rsidR="001E532C" w14:paraId="72DEB55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5D8CF" w14:textId="77777777" w:rsidR="001E532C" w:rsidRDefault="00000000">
            <w:r>
              <w:rPr>
                <w:sz w:val="20"/>
                <w:szCs w:val="20"/>
              </w:rPr>
              <w:t>Prêmio médio do produto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B5B9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0,998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6446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0,896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B810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Neutro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2DB29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Sem efeito relevante nesta base</w:t>
            </w:r>
          </w:p>
        </w:tc>
      </w:tr>
      <w:tr w:rsidR="001E532C" w14:paraId="05E588B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0D28E" w14:textId="77777777" w:rsidR="001E532C" w:rsidRDefault="00000000">
            <w:r>
              <w:rPr>
                <w:sz w:val="20"/>
                <w:szCs w:val="20"/>
              </w:rPr>
              <w:t>Faixa etária 18-25 anos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A71B9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1,093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97B67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01D4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↑ Risco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FCDC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Instabilidade e menor fidelidade à marca</w:t>
            </w:r>
          </w:p>
        </w:tc>
      </w:tr>
      <w:tr w:rsidR="001E532C" w14:paraId="3EE3060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9690E" w14:textId="77777777" w:rsidR="001E532C" w:rsidRDefault="00000000">
            <w:r>
              <w:rPr>
                <w:sz w:val="20"/>
                <w:szCs w:val="20"/>
              </w:rPr>
              <w:t>Cobertura Básica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022D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1,108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65DE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CB2F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↑ Risco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B98D6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Menor percepção de valor do produto</w:t>
            </w:r>
          </w:p>
        </w:tc>
      </w:tr>
      <w:tr w:rsidR="001E532C" w14:paraId="2763D4F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C4FC2" w14:textId="77777777" w:rsidR="001E532C" w:rsidRDefault="00000000">
            <w:r>
              <w:rPr>
                <w:sz w:val="20"/>
                <w:szCs w:val="20"/>
              </w:rPr>
              <w:t>Canal Digital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C84F1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1,137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4E59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9D6F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↑ Risco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858C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Facilidade de contratação = facilidade de cancelamento</w:t>
            </w:r>
          </w:p>
        </w:tc>
      </w:tr>
    </w:tbl>
    <w:p w14:paraId="3BECF000" w14:textId="77777777" w:rsidR="001E532C" w:rsidRDefault="001E532C">
      <w:pPr>
        <w:spacing w:after="120"/>
      </w:pPr>
    </w:p>
    <w:p w14:paraId="0BC010A9" w14:textId="77777777" w:rsidR="001E532C" w:rsidRDefault="00000000">
      <w:pPr>
        <w:spacing w:before="80" w:after="80"/>
      </w:pPr>
      <w:r>
        <w:t>Leitura: um Odds Ratio de 0,794 para tempo de relacionamento significa que, a cada desvio-padrão de aumento no tempo de casa, as chances de churn são reduzidas em 20,6%. Um OR de 1,137 para Canal Digital significa 13,7% a mais de chance de churn em relação ao canal de referência.</w:t>
      </w:r>
    </w:p>
    <w:p w14:paraId="624BE302" w14:textId="77777777" w:rsidR="001E532C" w:rsidRDefault="001E532C">
      <w:pPr>
        <w:spacing w:after="120"/>
      </w:pPr>
    </w:p>
    <w:p w14:paraId="1450A5BC" w14:textId="77777777" w:rsidR="001E532C" w:rsidRDefault="00000000">
      <w:pPr>
        <w:pStyle w:val="Ttulo2"/>
      </w:pPr>
      <w:r>
        <w:t>5.3 Score de Risco na Carteira Atual</w:t>
      </w:r>
    </w:p>
    <w:p w14:paraId="74F2E740" w14:textId="77777777" w:rsidR="001E532C" w:rsidRDefault="00000000">
      <w:pPr>
        <w:spacing w:before="80" w:after="80"/>
      </w:pPr>
      <w:r>
        <w:lastRenderedPageBreak/>
        <w:t>Com o modelo calibrado e aplicado às apólices ativas, utilizando o ponto de corte ótimo de 17% (maximização do F1-Score):</w:t>
      </w:r>
    </w:p>
    <w:p w14:paraId="259E66CE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3744"/>
      </w:tblGrid>
      <w:tr w:rsidR="001E532C" w14:paraId="7959A0D3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BDAF" w14:textId="77777777" w:rsidR="001E532C" w:rsidRDefault="00000000">
            <w:r>
              <w:rPr>
                <w:color w:val="444444"/>
                <w:sz w:val="20"/>
                <w:szCs w:val="20"/>
              </w:rPr>
              <w:t>Score médio de risco do portfólio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BC0B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17,48%</w:t>
            </w:r>
          </w:p>
        </w:tc>
      </w:tr>
      <w:tr w:rsidR="001E532C" w14:paraId="00739279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ACA5" w14:textId="77777777" w:rsidR="001E532C" w:rsidRDefault="00000000">
            <w:r>
              <w:rPr>
                <w:color w:val="444444"/>
                <w:sz w:val="20"/>
                <w:szCs w:val="20"/>
              </w:rPr>
              <w:t>Apólices classificadas como Alto Risco (score ≥ 17%)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28A8" w14:textId="77777777" w:rsidR="001E532C" w:rsidRDefault="00000000">
            <w:pPr>
              <w:jc w:val="right"/>
            </w:pPr>
            <w:r>
              <w:rPr>
                <w:b/>
                <w:bCs/>
                <w:color w:val="0D1F3C"/>
                <w:sz w:val="20"/>
                <w:szCs w:val="20"/>
              </w:rPr>
              <w:t>65.730</w:t>
            </w:r>
          </w:p>
        </w:tc>
      </w:tr>
      <w:tr w:rsidR="001E532C" w14:paraId="7429534D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CC79" w14:textId="77777777" w:rsidR="001E532C" w:rsidRDefault="00000000">
            <w:r>
              <w:rPr>
                <w:color w:val="444444"/>
                <w:sz w:val="20"/>
                <w:szCs w:val="20"/>
              </w:rPr>
              <w:t>Percentual da carteira em zona de risco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37B8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54,78%</w:t>
            </w:r>
          </w:p>
        </w:tc>
      </w:tr>
      <w:tr w:rsidR="001E532C" w14:paraId="1C2A82AF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996C" w14:textId="77777777" w:rsidR="001E532C" w:rsidRDefault="00000000">
            <w:r>
              <w:rPr>
                <w:color w:val="444444"/>
                <w:sz w:val="20"/>
                <w:szCs w:val="20"/>
              </w:rPr>
              <w:t>Receita em risco nas apólices ativas de Alto Risco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A62B" w14:textId="77777777" w:rsidR="001E532C" w:rsidRDefault="00000000">
            <w:pPr>
              <w:jc w:val="right"/>
            </w:pPr>
            <w:r>
              <w:rPr>
                <w:b/>
                <w:bCs/>
                <w:color w:val="0D1F3C"/>
                <w:sz w:val="20"/>
                <w:szCs w:val="20"/>
              </w:rPr>
              <w:t>R$ 17.759.055</w:t>
            </w:r>
          </w:p>
        </w:tc>
      </w:tr>
      <w:tr w:rsidR="001E532C" w14:paraId="44892D44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3CDB" w14:textId="77777777" w:rsidR="001E532C" w:rsidRDefault="00000000">
            <w:r>
              <w:rPr>
                <w:color w:val="444444"/>
                <w:sz w:val="20"/>
                <w:szCs w:val="20"/>
              </w:rPr>
              <w:t>AUC-ROC do modelo (base de teste)</w:t>
            </w:r>
          </w:p>
        </w:tc>
        <w:tc>
          <w:tcPr>
            <w:tcW w:w="37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69C3" w14:textId="77777777" w:rsidR="001E532C" w:rsidRDefault="00000000">
            <w:pPr>
              <w:jc w:val="right"/>
            </w:pPr>
            <w:r>
              <w:rPr>
                <w:sz w:val="20"/>
                <w:szCs w:val="20"/>
              </w:rPr>
              <w:t>0,6097</w:t>
            </w:r>
          </w:p>
        </w:tc>
      </w:tr>
    </w:tbl>
    <w:p w14:paraId="5D9A51DC" w14:textId="77777777" w:rsidR="001E532C" w:rsidRDefault="001E532C">
      <w:pPr>
        <w:spacing w:after="120"/>
      </w:pPr>
    </w:p>
    <w:p w14:paraId="04433BB1" w14:textId="77777777" w:rsidR="001E532C" w:rsidRDefault="00000000">
      <w:pPr>
        <w:spacing w:before="80" w:after="80"/>
      </w:pPr>
      <w:r>
        <w:t>O score permite que a equipe comercial e de retenção priorize as apólices com maior probabilidade de cancelamento — substituindo critérios subjetivos por um ranqueamento estatisticamente fundamentado.</w:t>
      </w:r>
    </w:p>
    <w:p w14:paraId="2255B5D1" w14:textId="77777777" w:rsidR="001E532C" w:rsidRDefault="00000000">
      <w:r>
        <w:br w:type="page"/>
      </w:r>
    </w:p>
    <w:p w14:paraId="4D2CD576" w14:textId="77777777" w:rsidR="001E532C" w:rsidRDefault="00000000">
      <w:pPr>
        <w:pStyle w:val="Ttulo1"/>
        <w:pBdr>
          <w:bottom w:val="single" w:sz="8" w:space="6" w:color="2E9CCA"/>
        </w:pBdr>
      </w:pPr>
      <w:r>
        <w:lastRenderedPageBreak/>
        <w:t>6. Recomendações Estratégicas</w:t>
      </w:r>
    </w:p>
    <w:p w14:paraId="4C05F518" w14:textId="77777777" w:rsidR="001E532C" w:rsidRDefault="00000000">
      <w:pPr>
        <w:pStyle w:val="Ttulo2"/>
      </w:pPr>
      <w:r>
        <w:t>6.1 Ações Imediatas (próximos 30–60 dias)</w:t>
      </w:r>
    </w:p>
    <w:p w14:paraId="1B9882C5" w14:textId="77777777" w:rsidR="001E532C" w:rsidRDefault="001E53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532C" w14:paraId="21A519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FDEC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D8C5E" w14:textId="77777777" w:rsidR="001E532C" w:rsidRDefault="00000000">
            <w:r>
              <w:rPr>
                <w:b/>
                <w:bCs/>
                <w:color w:val="E74C3C"/>
              </w:rPr>
              <w:t>🔴  Campanha de Retenção — Alto Risco</w:t>
            </w:r>
          </w:p>
          <w:p w14:paraId="025ED2F6" w14:textId="77777777" w:rsidR="001E532C" w:rsidRDefault="00000000">
            <w:r>
              <w:rPr>
                <w:sz w:val="20"/>
                <w:szCs w:val="20"/>
              </w:rPr>
              <w:t>65.730 apólices identificadas pelo modelo. Priorizar: Canal Digital + Cobertura Básica + Clientes de 18–25 anos. Receita em jogo: R$ 17,8M.</w:t>
            </w:r>
          </w:p>
        </w:tc>
        <w:tc>
          <w:tcPr>
            <w:tcW w:w="4680" w:type="dxa"/>
            <w:tcBorders>
              <w:top w:val="single" w:sz="1" w:space="0" w:color="F0A500"/>
              <w:left w:val="single" w:sz="1" w:space="0" w:color="F0A500"/>
              <w:bottom w:val="single" w:sz="1" w:space="0" w:color="F0A500"/>
              <w:right w:val="single" w:sz="1" w:space="0" w:color="F0A500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FCE8F" w14:textId="77777777" w:rsidR="001E532C" w:rsidRDefault="00000000">
            <w:r>
              <w:rPr>
                <w:b/>
                <w:bCs/>
                <w:color w:val="B45309"/>
              </w:rPr>
              <w:t>🟡  Recuperação de Inadimplentes</w:t>
            </w:r>
          </w:p>
          <w:p w14:paraId="6133F75A" w14:textId="77777777" w:rsidR="001E532C" w:rsidRDefault="00000000">
            <w:r>
              <w:rPr>
                <w:sz w:val="20"/>
                <w:szCs w:val="20"/>
              </w:rPr>
              <w:t>410 apólices suspensas com R$ 993.641 em risco imediato. Foco em atualização de dados de pagamento e renegociação, especialmente portadores de Cartão de Crédito (38% dos casos).</w:t>
            </w:r>
          </w:p>
        </w:tc>
      </w:tr>
      <w:tr w:rsidR="001E532C" w14:paraId="569424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BFCD9" w14:textId="77777777" w:rsidR="001E532C" w:rsidRDefault="00000000">
            <w:r>
              <w:rPr>
                <w:b/>
                <w:bCs/>
                <w:color w:val="0D1F3C"/>
              </w:rPr>
              <w:t>🔵  Foco no Ramo Automóvel</w:t>
            </w:r>
          </w:p>
          <w:p w14:paraId="0DB003C7" w14:textId="77777777" w:rsidR="001E532C" w:rsidRDefault="00000000">
            <w:r>
              <w:rPr>
                <w:sz w:val="20"/>
                <w:szCs w:val="20"/>
              </w:rPr>
              <w:t>80% do gap de receita evitável está concentrado em Auto (R$ 57,3M). Qualquer programa de retenção deve começar por este ramo.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D5F0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D8ED5" w14:textId="77777777" w:rsidR="001E532C" w:rsidRDefault="00000000">
            <w:r>
              <w:rPr>
                <w:b/>
                <w:bCs/>
                <w:color w:val="1A5C36"/>
              </w:rPr>
              <w:t>🟢  Reativação de Vencidos</w:t>
            </w:r>
          </w:p>
          <w:p w14:paraId="35AD5B4B" w14:textId="77777777" w:rsidR="001E532C" w:rsidRDefault="00000000">
            <w:r>
              <w:rPr>
                <w:sz w:val="20"/>
                <w:szCs w:val="20"/>
              </w:rPr>
              <w:t>77.927 apólices vencidas sem renovação — maior oportunidade de reativação da base. Não são churns, mas representam clientes que a seguradora já conquistou e pode recuperar.</w:t>
            </w:r>
          </w:p>
        </w:tc>
      </w:tr>
    </w:tbl>
    <w:p w14:paraId="0C57EDBD" w14:textId="77777777" w:rsidR="001E532C" w:rsidRDefault="001E532C">
      <w:pPr>
        <w:spacing w:after="240"/>
      </w:pPr>
    </w:p>
    <w:p w14:paraId="244813E6" w14:textId="77777777" w:rsidR="001E532C" w:rsidRDefault="00000000">
      <w:pPr>
        <w:pStyle w:val="Ttulo2"/>
      </w:pPr>
      <w:r>
        <w:t>6.2 Alavancas Estruturais (médio prazo)</w:t>
      </w:r>
    </w:p>
    <w:p w14:paraId="7C3026C8" w14:textId="77777777" w:rsidR="001E532C" w:rsidRDefault="001E532C">
      <w:pPr>
        <w:spacing w:after="120"/>
      </w:pPr>
    </w:p>
    <w:p w14:paraId="5E4CCAC1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Migração de contratos semestrais: </w:t>
      </w:r>
      <w:r>
        <w:t>Incentivar contratos mais longos: apólices de 24 meses têm 2,78 p.p. menos churn que as de 6 meses. Desconto proporcional ou benefícios de fidelidade para contratações anuais e bianuais podem reduzir o churn estruturalmente, sem necessidade de contato reativo.</w:t>
      </w:r>
    </w:p>
    <w:p w14:paraId="430B30F2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Engajamento digital pós-venda: </w:t>
      </w:r>
      <w:r>
        <w:t>O Canal Digital combina maior margem com maior churn. Implementar sequências de comunicação pós-venda (boas-vindas, lembretes de cobertura, facilidade de acionamento) para aumentar o engajamento e a percepção de valor nos primeiros 90 dias — janela crítica de risco.</w:t>
      </w:r>
    </w:p>
    <w:p w14:paraId="1F617DCC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Programa de fidelização para clientes recentes: </w:t>
      </w:r>
      <w:r>
        <w:t>O modelo confirma que clientes novos (0–12 meses de relacionamento) têm maior propensão ao churn. Com payback do CAC de apenas 1,1 meses, o investimento em retenção dos primeiros 6–12 meses tem retorno rápido e preserva o potencial de LTV dos 11–23 meses seguintes.</w:t>
      </w:r>
    </w:p>
    <w:p w14:paraId="7A23B254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Valorização do Canal Corretor: </w:t>
      </w:r>
      <w:r>
        <w:t>O modelo mostra OR = 0,882 para o Canal Corretor. Investir no fortalecimento do relacionamento corretor-cliente — treinamento, ferramentas de CRM para corretores, alertas de renovação — amplifica o efeito de retenção natural desse canal.</w:t>
      </w:r>
    </w:p>
    <w:p w14:paraId="467D3BB3" w14:textId="77777777" w:rsidR="001E532C" w:rsidRDefault="00000000">
      <w:r>
        <w:br w:type="page"/>
      </w:r>
    </w:p>
    <w:p w14:paraId="4D680D2E" w14:textId="77777777" w:rsidR="001E532C" w:rsidRDefault="00000000">
      <w:pPr>
        <w:pStyle w:val="Ttulo1"/>
        <w:pBdr>
          <w:bottom w:val="single" w:sz="8" w:space="6" w:color="2E9CCA"/>
        </w:pBdr>
      </w:pPr>
      <w:r>
        <w:lastRenderedPageBreak/>
        <w:t>7. Agenda Analítica Futura</w:t>
      </w:r>
    </w:p>
    <w:p w14:paraId="2BCE7EAB" w14:textId="77777777" w:rsidR="001E532C" w:rsidRDefault="00000000">
      <w:pPr>
        <w:pStyle w:val="Ttulo2"/>
      </w:pPr>
      <w:r>
        <w:t>7.1 Enriquecimento da Base de Dados</w:t>
      </w:r>
    </w:p>
    <w:p w14:paraId="2BDE419C" w14:textId="77777777" w:rsidR="001E532C" w:rsidRDefault="00000000">
      <w:pPr>
        <w:spacing w:before="80" w:after="80"/>
      </w:pPr>
      <w:r>
        <w:t>A principal oportunidade de melhoria do modelo preditivo não está na técnica, mas nos dados. A Seguradora Xperiun certamente possui informações adicionais que não estavam disponíveis na base anonimizada deste trabalho e que são preditores clássicos de churn no setor de seguros:</w:t>
      </w:r>
    </w:p>
    <w:p w14:paraId="0887CF33" w14:textId="77777777" w:rsidR="001E532C" w:rsidRDefault="001E532C">
      <w:pPr>
        <w:spacing w:after="120"/>
      </w:pPr>
    </w:p>
    <w:p w14:paraId="5D247C9E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Sinistralidade: </w:t>
      </w:r>
      <w:r>
        <w:t>Histórico de sinistros por apólice — frequência, valores e tipo de sinistro. Clientes que nunca acionaram o seguro apresentam o motivo 'não usa / não precisa mais' como segundo maior driver de churn. Com dados de sinistralidade, seria possível identificar proativamente esse grupo e acionar comunicações que reforcem o valor da cobertura.</w:t>
      </w:r>
    </w:p>
    <w:p w14:paraId="5BCD8FDD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Renda: </w:t>
      </w:r>
      <w:r>
        <w:t>Renda do cliente é classicamente associada à sensibilidade a preço e à capacidade de manter o pagamento. Sua ausência limita especialmente a análise dos churns por dificuldade financeira.</w:t>
      </w:r>
    </w:p>
    <w:p w14:paraId="781502A6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Idade exata (em vez de faixa etária): </w:t>
      </w:r>
      <w:r>
        <w:t>O modelo atual usa faixas de 10 anos. Com a idade contínua, o modelo capturaria nuances como a diferença de comportamento entre clientes de 18 e 24 anos dentro da mesma faixa.</w:t>
      </w:r>
    </w:p>
    <w:p w14:paraId="591393B0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Histórico de contato e satisfação: </w:t>
      </w:r>
      <w:r>
        <w:t>Número de interações com a central, reclamações registradas e NPS — dados comportamentais que frequentemente antecedem o cancelamento e que agregariam enorme poder preditivo.</w:t>
      </w:r>
    </w:p>
    <w:p w14:paraId="5F15AAAA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Contexto geoeconômico por UF: </w:t>
      </w:r>
      <w:r>
        <w:t>Indicadores de desemprego, renda média e penetração do seguro por estado, cruzados com a localização do cliente, poderiam explicar parte da variação geográfica no churn.</w:t>
      </w:r>
    </w:p>
    <w:p w14:paraId="5D4132E4" w14:textId="77777777" w:rsidR="001E532C" w:rsidRDefault="001E532C">
      <w:pPr>
        <w:spacing w:after="120"/>
      </w:pPr>
    </w:p>
    <w:p w14:paraId="294A4DB0" w14:textId="77777777" w:rsidR="001E532C" w:rsidRDefault="00000000">
      <w:pPr>
        <w:spacing w:before="80" w:after="80"/>
      </w:pPr>
      <w:r>
        <w:t>Com esses dados adicionais, a Regressão Logística continuaria sendo a técnica principal de escolha — mantendo a interpretabilidade dos coeficientes — e provavelmente alcançaria desempenho significativamente superior ao AUC de 0,61 obtido com a base atual.</w:t>
      </w:r>
    </w:p>
    <w:p w14:paraId="22933241" w14:textId="77777777" w:rsidR="001E532C" w:rsidRDefault="001E532C">
      <w:pPr>
        <w:spacing w:after="120"/>
      </w:pPr>
    </w:p>
    <w:p w14:paraId="03FBAEE0" w14:textId="77777777" w:rsidR="001E532C" w:rsidRDefault="00000000">
      <w:pPr>
        <w:pStyle w:val="Ttulo2"/>
      </w:pPr>
      <w:r>
        <w:t>7.2 Aprofundamentos Analíticos</w:t>
      </w:r>
    </w:p>
    <w:p w14:paraId="697070E2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Análise de sobrevivência (Kaplan-Meier / Cox): </w:t>
      </w:r>
      <w:r>
        <w:t>Modelar o tempo até o churn — e não apenas a probabilidade binária — para definir quando acionar a retenção, não apenas quem abordar.</w:t>
      </w:r>
    </w:p>
    <w:p w14:paraId="19A78012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Modelo de propensão à renovação: </w:t>
      </w:r>
      <w:r>
        <w:t>Um modelo específico para as 77.927 apólices vencidas sem renovação, identificando os clientes com maior probabilidade de recontratação.</w:t>
      </w:r>
    </w:p>
    <w:p w14:paraId="49E8F094" w14:textId="77777777" w:rsidR="001E532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F3C"/>
        </w:rPr>
        <w:t xml:space="preserve">Modelos de ensemble (como alternativa complementar): </w:t>
      </w:r>
      <w:r>
        <w:t>Se o objetivo evoluir para maximizar a predição em detrimento da interpretabilidade, Random Forest e XGBoost tendem a superar a regressão logística em AUC — mas ao custo de coeficientes não diretamente interpretáveis para a gestão.</w:t>
      </w:r>
    </w:p>
    <w:p w14:paraId="086246E5" w14:textId="77777777" w:rsidR="001E532C" w:rsidRDefault="00000000">
      <w:r>
        <w:br w:type="page"/>
      </w:r>
    </w:p>
    <w:p w14:paraId="3D466C99" w14:textId="77777777" w:rsidR="001E532C" w:rsidRDefault="00000000">
      <w:pPr>
        <w:pStyle w:val="Ttulo1"/>
        <w:pBdr>
          <w:bottom w:val="single" w:sz="8" w:space="6" w:color="2E9CCA"/>
        </w:pBdr>
      </w:pPr>
      <w:r>
        <w:lastRenderedPageBreak/>
        <w:t>Apêndice: Referência Técnica do Modelo</w:t>
      </w:r>
    </w:p>
    <w:p w14:paraId="51C10644" w14:textId="77777777" w:rsidR="001E532C" w:rsidRDefault="00000000">
      <w:pPr>
        <w:pStyle w:val="Ttulo2"/>
      </w:pPr>
      <w:r>
        <w:t>A. Arquitetura de Dados</w:t>
      </w:r>
    </w:p>
    <w:p w14:paraId="751A52FD" w14:textId="77777777" w:rsidR="001E532C" w:rsidRDefault="00000000">
      <w:pPr>
        <w:spacing w:before="80" w:after="80"/>
      </w:pPr>
      <w:r>
        <w:t>O dashboard foi construído sobre um modelo estrela (Star Schema) com seis tabelas principais, 155 medidas DAX organizadas em 9 pastas temáticas, cobrindo o período de janeiro/2020 a setembro/2025 (120.000 apólices, 24.799 clientes únicos).</w:t>
      </w:r>
    </w:p>
    <w:p w14:paraId="0DEEB085" w14:textId="77777777" w:rsidR="001E532C" w:rsidRDefault="001E532C">
      <w:pPr>
        <w:spacing w:after="120"/>
      </w:pPr>
    </w:p>
    <w:p w14:paraId="18F6947E" w14:textId="77777777" w:rsidR="001E532C" w:rsidRDefault="00000000">
      <w:pPr>
        <w:pStyle w:val="Ttulo2"/>
      </w:pPr>
      <w:r>
        <w:t>B. Metodologia do Modelo Preditivo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532C" w14:paraId="19F0F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65C3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46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C853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E532C" w14:paraId="43BE3A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84BB6" w14:textId="77777777" w:rsidR="001E532C" w:rsidRDefault="00000000">
            <w:r>
              <w:rPr>
                <w:sz w:val="20"/>
                <w:szCs w:val="20"/>
              </w:rPr>
              <w:t>Técnica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D6A9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Regressão Logística (statsmodels.Logit)</w:t>
            </w:r>
          </w:p>
        </w:tc>
      </w:tr>
      <w:tr w:rsidR="001E532C" w14:paraId="1EF5CD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C1949" w14:textId="77777777" w:rsidR="001E532C" w:rsidRDefault="00000000">
            <w:r>
              <w:rPr>
                <w:sz w:val="20"/>
                <w:szCs w:val="20"/>
              </w:rPr>
              <w:t>Base de treinamento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30DD0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68.003 apólices (70%)</w:t>
            </w:r>
          </w:p>
        </w:tc>
      </w:tr>
      <w:tr w:rsidR="001E532C" w14:paraId="5EA095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C2C30" w14:textId="77777777" w:rsidR="001E532C" w:rsidRDefault="00000000">
            <w:r>
              <w:rPr>
                <w:sz w:val="20"/>
                <w:szCs w:val="20"/>
              </w:rPr>
              <w:t>Base de teste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82001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29.145 apólices (30%)</w:t>
            </w:r>
          </w:p>
        </w:tc>
      </w:tr>
      <w:tr w:rsidR="001E532C" w14:paraId="5CE570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F2E8A" w14:textId="77777777" w:rsidR="001E532C" w:rsidRDefault="00000000">
            <w:r>
              <w:rPr>
                <w:sz w:val="20"/>
                <w:szCs w:val="20"/>
              </w:rPr>
              <w:t>Estratificação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93AE6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Multilabel (5 dimensões simultâneas)</w:t>
            </w:r>
          </w:p>
        </w:tc>
      </w:tr>
      <w:tr w:rsidR="001E532C" w14:paraId="426C97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714DC" w14:textId="77777777" w:rsidR="001E532C" w:rsidRDefault="00000000">
            <w:r>
              <w:rPr>
                <w:sz w:val="20"/>
                <w:szCs w:val="20"/>
              </w:rPr>
              <w:t>Seleção de variáveis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82127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Consenso de 5 métodos (Bivariada, Lasso, Stepwise, Wald, Boruta)</w:t>
            </w:r>
          </w:p>
        </w:tc>
      </w:tr>
      <w:tr w:rsidR="001E532C" w14:paraId="668F67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A795C" w14:textId="77777777" w:rsidR="001E532C" w:rsidRDefault="00000000">
            <w:r>
              <w:rPr>
                <w:sz w:val="20"/>
                <w:szCs w:val="20"/>
              </w:rPr>
              <w:t>Variáveis no modelo final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E9F3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9 (de 58 candidatas)</w:t>
            </w:r>
          </w:p>
        </w:tc>
      </w:tr>
      <w:tr w:rsidR="001E532C" w14:paraId="6A9FCF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50850" w14:textId="77777777" w:rsidR="001E532C" w:rsidRDefault="00000000">
            <w:r>
              <w:rPr>
                <w:sz w:val="20"/>
                <w:szCs w:val="20"/>
              </w:rPr>
              <w:t>Correção de desbalanceamento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CAFC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Pesos amostrais inversamente proporcionais (freq_weights)</w:t>
            </w:r>
          </w:p>
        </w:tc>
      </w:tr>
      <w:tr w:rsidR="001E532C" w14:paraId="156129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06D56" w14:textId="77777777" w:rsidR="001E532C" w:rsidRDefault="00000000">
            <w:r>
              <w:rPr>
                <w:sz w:val="20"/>
                <w:szCs w:val="20"/>
              </w:rPr>
              <w:t>Correção de dependência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F252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Erros-padrão clusterizados por cliente_id</w:t>
            </w:r>
          </w:p>
        </w:tc>
      </w:tr>
      <w:tr w:rsidR="001E532C" w14:paraId="3FE6AC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B89C2" w14:textId="77777777" w:rsidR="001E532C" w:rsidRDefault="00000000">
            <w:r>
              <w:rPr>
                <w:sz w:val="20"/>
                <w:szCs w:val="20"/>
              </w:rPr>
              <w:t>AUC-ROC (base de teste)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0BD9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0,6097</w:t>
            </w:r>
          </w:p>
        </w:tc>
      </w:tr>
      <w:tr w:rsidR="001E532C" w14:paraId="3C16A1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3688B" w14:textId="77777777" w:rsidR="001E532C" w:rsidRDefault="00000000">
            <w:r>
              <w:rPr>
                <w:sz w:val="20"/>
                <w:szCs w:val="20"/>
              </w:rPr>
              <w:t>Pseudo-R² (McFadden)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E5B70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2,46%</w:t>
            </w:r>
          </w:p>
        </w:tc>
      </w:tr>
      <w:tr w:rsidR="001E532C" w14:paraId="1B317F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875A6" w14:textId="77777777" w:rsidR="001E532C" w:rsidRDefault="00000000">
            <w:r>
              <w:rPr>
                <w:sz w:val="20"/>
                <w:szCs w:val="20"/>
              </w:rPr>
              <w:t>Threshold ótimo (F1-Score)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6427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17,0%</w:t>
            </w:r>
          </w:p>
        </w:tc>
      </w:tr>
    </w:tbl>
    <w:p w14:paraId="54F2D735" w14:textId="77777777" w:rsidR="001E532C" w:rsidRDefault="001E532C">
      <w:pPr>
        <w:spacing w:after="120"/>
      </w:pPr>
    </w:p>
    <w:p w14:paraId="0336FF33" w14:textId="77777777" w:rsidR="001E532C" w:rsidRDefault="00000000">
      <w:pPr>
        <w:pStyle w:val="Ttulo2"/>
      </w:pPr>
      <w:r>
        <w:t>C. Variáveis do Modelo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440"/>
        <w:gridCol w:w="1080"/>
        <w:gridCol w:w="720"/>
        <w:gridCol w:w="3360"/>
      </w:tblGrid>
      <w:tr w:rsidR="001E532C" w14:paraId="4992F2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ED10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44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7F17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Odds Ratio</w:t>
            </w:r>
          </w:p>
        </w:tc>
        <w:tc>
          <w:tcPr>
            <w:tcW w:w="108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8512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p-valor</w:t>
            </w:r>
          </w:p>
        </w:tc>
        <w:tc>
          <w:tcPr>
            <w:tcW w:w="7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FD13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Sig.</w:t>
            </w:r>
          </w:p>
        </w:tc>
        <w:tc>
          <w:tcPr>
            <w:tcW w:w="336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8D35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Direção</w:t>
            </w:r>
          </w:p>
        </w:tc>
      </w:tr>
      <w:tr w:rsidR="001E532C" w14:paraId="7F408A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8DC44" w14:textId="77777777" w:rsidR="001E532C" w:rsidRDefault="00000000">
            <w:r>
              <w:rPr>
                <w:sz w:val="20"/>
                <w:szCs w:val="20"/>
              </w:rPr>
              <w:t>tempo_cliente_meses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6EEF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0,794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AB13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DF80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***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1FFD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Protege</w:t>
            </w:r>
          </w:p>
        </w:tc>
      </w:tr>
      <w:tr w:rsidR="001E532C" w14:paraId="64DA7A4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DE249" w14:textId="77777777" w:rsidR="001E532C" w:rsidRDefault="00000000">
            <w:r>
              <w:rPr>
                <w:sz w:val="20"/>
                <w:szCs w:val="20"/>
              </w:rPr>
              <w:t>cobertura_Premium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EFC0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0,849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7C639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C7A8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***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6918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Protege</w:t>
            </w:r>
          </w:p>
        </w:tc>
      </w:tr>
      <w:tr w:rsidR="001E532C" w14:paraId="69CA3D5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1EE81" w14:textId="77777777" w:rsidR="001E532C" w:rsidRDefault="00000000">
            <w:r>
              <w:rPr>
                <w:sz w:val="20"/>
                <w:szCs w:val="20"/>
              </w:rPr>
              <w:t>tipo_canal_Corretor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7963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0,882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B9807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3ED61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***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67BD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Protege</w:t>
            </w:r>
          </w:p>
        </w:tc>
      </w:tr>
      <w:tr w:rsidR="001E532C" w14:paraId="1D93806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F7EE9" w14:textId="77777777" w:rsidR="001E532C" w:rsidRDefault="00000000">
            <w:r>
              <w:rPr>
                <w:sz w:val="20"/>
                <w:szCs w:val="20"/>
              </w:rPr>
              <w:t>vigencia_meses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4576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0,958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920E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0BAC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***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B25B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Protege</w:t>
            </w:r>
          </w:p>
        </w:tc>
      </w:tr>
      <w:tr w:rsidR="001E532C" w14:paraId="47422DD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2BB5A" w14:textId="77777777" w:rsidR="001E532C" w:rsidRDefault="00000000">
            <w:r>
              <w:rPr>
                <w:sz w:val="20"/>
                <w:szCs w:val="20"/>
              </w:rPr>
              <w:t>faixa_etaria_36-45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A38C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0,981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1C06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0,066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FF90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·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15CCD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↓ Tendência (ns)</w:t>
            </w:r>
          </w:p>
        </w:tc>
      </w:tr>
      <w:tr w:rsidR="001E532C" w14:paraId="394002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482D1" w14:textId="77777777" w:rsidR="001E532C" w:rsidRDefault="00000000">
            <w:r>
              <w:rPr>
                <w:sz w:val="20"/>
                <w:szCs w:val="20"/>
              </w:rPr>
              <w:t>premio_medio_mensal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B683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0,998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ABD9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0,896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8CE2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·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9AF1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Neutro (ns)</w:t>
            </w:r>
          </w:p>
        </w:tc>
      </w:tr>
      <w:tr w:rsidR="001E532C" w14:paraId="57D78D6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BBB5E" w14:textId="77777777" w:rsidR="001E532C" w:rsidRDefault="00000000">
            <w:r>
              <w:rPr>
                <w:sz w:val="20"/>
                <w:szCs w:val="20"/>
              </w:rPr>
              <w:t>faixa_etaria_18-25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FFD7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1,093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C4CF3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0C405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***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CC111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↑ Risco</w:t>
            </w:r>
          </w:p>
        </w:tc>
      </w:tr>
      <w:tr w:rsidR="001E532C" w14:paraId="6FAA691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99027" w14:textId="77777777" w:rsidR="001E532C" w:rsidRDefault="00000000">
            <w:r>
              <w:rPr>
                <w:sz w:val="20"/>
                <w:szCs w:val="20"/>
              </w:rPr>
              <w:t>cobertura_Básica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BDDD2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1,108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976DC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1D140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***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583B4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↑ Risco</w:t>
            </w:r>
          </w:p>
        </w:tc>
      </w:tr>
      <w:tr w:rsidR="001E532C" w14:paraId="12243D4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F0D0B" w14:textId="77777777" w:rsidR="001E532C" w:rsidRDefault="00000000">
            <w:r>
              <w:rPr>
                <w:sz w:val="20"/>
                <w:szCs w:val="20"/>
              </w:rPr>
              <w:t>tipo_canal_Digital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44FE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1,137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A93A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&lt; 0,001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F7117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***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2701F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↑ Risco</w:t>
            </w:r>
          </w:p>
        </w:tc>
      </w:tr>
    </w:tbl>
    <w:p w14:paraId="134F11AD" w14:textId="77777777" w:rsidR="001E532C" w:rsidRDefault="001E532C">
      <w:pPr>
        <w:spacing w:after="120"/>
      </w:pPr>
    </w:p>
    <w:p w14:paraId="5B65E79F" w14:textId="77777777" w:rsidR="001E532C" w:rsidRDefault="00000000">
      <w:r>
        <w:rPr>
          <w:i/>
          <w:iCs/>
          <w:color w:val="777777"/>
          <w:sz w:val="18"/>
          <w:szCs w:val="18"/>
        </w:rPr>
        <w:t>Legenda: *** p &lt; 0,001  |  · p ≥ 0,05 (não significante)  |  Erros-padrão clusterizados por cliente_id</w:t>
      </w:r>
    </w:p>
    <w:p w14:paraId="6F73AD6E" w14:textId="77777777" w:rsidR="001E532C" w:rsidRDefault="001E532C">
      <w:pPr>
        <w:spacing w:after="120"/>
      </w:pPr>
    </w:p>
    <w:p w14:paraId="43D139AA" w14:textId="77777777" w:rsidR="001E532C" w:rsidRDefault="00000000">
      <w:pPr>
        <w:pStyle w:val="Ttulo2"/>
      </w:pPr>
      <w:r>
        <w:t>D. Convenções do Modelo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E532C" w14:paraId="2303B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0D64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6240" w:type="dxa"/>
            <w:tcBorders>
              <w:top w:val="single" w:sz="1" w:space="0" w:color="2E9CCA"/>
              <w:left w:val="single" w:sz="1" w:space="0" w:color="2E9CCA"/>
              <w:bottom w:val="single" w:sz="1" w:space="0" w:color="2E9CCA"/>
              <w:right w:val="single" w:sz="1" w:space="0" w:color="2E9CCA"/>
            </w:tcBorders>
            <w:shd w:val="clear" w:color="auto" w:fill="0D1F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9EFA" w14:textId="77777777" w:rsidR="001E53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Padrão Adotado</w:t>
            </w:r>
          </w:p>
        </w:tc>
      </w:tr>
      <w:tr w:rsidR="001E532C" w14:paraId="248900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9FB90" w14:textId="77777777" w:rsidR="001E532C" w:rsidRDefault="00000000">
            <w:r>
              <w:rPr>
                <w:sz w:val="20"/>
                <w:szCs w:val="20"/>
              </w:rPr>
              <w:t>Tabelas fato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4BA3A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Prefixo f + PascalCase (fApolice, fMetaMensal)</w:t>
            </w:r>
          </w:p>
        </w:tc>
      </w:tr>
      <w:tr w:rsidR="001E532C" w14:paraId="1019B7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B3913" w14:textId="77777777" w:rsidR="001E532C" w:rsidRDefault="00000000">
            <w:r>
              <w:rPr>
                <w:sz w:val="20"/>
                <w:szCs w:val="20"/>
              </w:rPr>
              <w:t>Tabelas dimensão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95408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Prefixo d + PascalCase (dCliente, dProduto)</w:t>
            </w:r>
          </w:p>
        </w:tc>
      </w:tr>
      <w:tr w:rsidR="001E532C" w14:paraId="02789A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97DE2" w14:textId="77777777" w:rsidR="001E532C" w:rsidRDefault="00000000">
            <w:r>
              <w:rPr>
                <w:sz w:val="20"/>
                <w:szCs w:val="20"/>
              </w:rPr>
              <w:t>Tabela de medidas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F2CDB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_Medidas (underscore → topo da lista de campos)</w:t>
            </w:r>
          </w:p>
        </w:tc>
      </w:tr>
      <w:tr w:rsidR="001E532C" w14:paraId="35B505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21BB6" w14:textId="77777777" w:rsidR="001E532C" w:rsidRDefault="00000000">
            <w:r>
              <w:rPr>
                <w:sz w:val="20"/>
                <w:szCs w:val="20"/>
              </w:rPr>
              <w:t>Medidas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DF88E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Title Case com espaços</w:t>
            </w:r>
          </w:p>
        </w:tc>
      </w:tr>
      <w:tr w:rsidR="001E532C" w14:paraId="6DCB4D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2768A" w14:textId="77777777" w:rsidR="001E532C" w:rsidRDefault="00000000">
            <w:r>
              <w:rPr>
                <w:sz w:val="20"/>
                <w:szCs w:val="20"/>
              </w:rPr>
              <w:t>KPI churn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A7BC7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Churn = gerenciável | Cancelamento = total (inclui estrutural)</w:t>
            </w:r>
          </w:p>
        </w:tc>
      </w:tr>
      <w:tr w:rsidR="001E532C" w14:paraId="3DBBEE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E904E" w14:textId="77777777" w:rsidR="001E532C" w:rsidRDefault="00000000">
            <w:r>
              <w:rPr>
                <w:sz w:val="20"/>
                <w:szCs w:val="20"/>
              </w:rPr>
              <w:t>Abreviações temporais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2C066" w14:textId="77777777" w:rsidR="001E532C" w:rsidRDefault="00000000">
            <w:pPr>
              <w:jc w:val="center"/>
            </w:pPr>
            <w:r>
              <w:rPr>
                <w:sz w:val="20"/>
                <w:szCs w:val="20"/>
              </w:rPr>
              <w:t>YTD, YoY, MoM</w:t>
            </w:r>
          </w:p>
        </w:tc>
      </w:tr>
    </w:tbl>
    <w:p w14:paraId="6DB9C8D1" w14:textId="77777777" w:rsidR="001E532C" w:rsidRDefault="001E532C">
      <w:pPr>
        <w:spacing w:after="120"/>
      </w:pPr>
    </w:p>
    <w:p w14:paraId="0B59E0BB" w14:textId="77777777" w:rsidR="001E532C" w:rsidRDefault="00000000"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>Documento gerado com base em análise direta do modelo semântico — MBA Xperiun · Data Challenge 4 · Maio/2026</w:t>
      </w:r>
    </w:p>
    <w:sectPr w:rsidR="001E532C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8D9CD" w14:textId="77777777" w:rsidR="009D09BA" w:rsidRDefault="009D09BA">
      <w:r>
        <w:separator/>
      </w:r>
    </w:p>
  </w:endnote>
  <w:endnote w:type="continuationSeparator" w:id="0">
    <w:p w14:paraId="742B8DB4" w14:textId="77777777" w:rsidR="009D09BA" w:rsidRDefault="009D0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F99D" w14:textId="77777777" w:rsidR="001E532C" w:rsidRDefault="00000000">
    <w:pPr>
      <w:pBdr>
        <w:top w:val="single" w:sz="4" w:space="4" w:color="2E9CCA"/>
      </w:pBdr>
      <w:tabs>
        <w:tab w:val="right" w:pos="9360"/>
      </w:tabs>
    </w:pPr>
    <w:r>
      <w:rPr>
        <w:color w:val="888888"/>
        <w:sz w:val="18"/>
        <w:szCs w:val="18"/>
      </w:rPr>
      <w:t>MBA Xperiun · Data Challenge 4 · Squad 23  |  Maio/2026</w:t>
    </w:r>
    <w:r>
      <w:tab/>
    </w:r>
    <w:r>
      <w:rPr>
        <w:color w:val="888888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A876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CA70F" w14:textId="77777777" w:rsidR="009D09BA" w:rsidRDefault="009D09BA">
      <w:r>
        <w:separator/>
      </w:r>
    </w:p>
  </w:footnote>
  <w:footnote w:type="continuationSeparator" w:id="0">
    <w:p w14:paraId="6285E28F" w14:textId="77777777" w:rsidR="009D09BA" w:rsidRDefault="009D0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A0715" w14:textId="77777777" w:rsidR="001E532C" w:rsidRDefault="00000000">
    <w:pPr>
      <w:pBdr>
        <w:bottom w:val="single" w:sz="6" w:space="4" w:color="2E9CCA"/>
      </w:pBdr>
    </w:pPr>
    <w:r>
      <w:rPr>
        <w:color w:val="888888"/>
        <w:sz w:val="18"/>
        <w:szCs w:val="18"/>
      </w:rPr>
      <w:t>Seguradora Xperiun  |  Análise de Churn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55304"/>
    <w:multiLevelType w:val="hybridMultilevel"/>
    <w:tmpl w:val="EAC41F72"/>
    <w:lvl w:ilvl="0" w:tplc="9C805220">
      <w:start w:val="1"/>
      <w:numFmt w:val="bullet"/>
      <w:lvlText w:val="●"/>
      <w:lvlJc w:val="left"/>
      <w:pPr>
        <w:ind w:left="720" w:hanging="360"/>
      </w:pPr>
    </w:lvl>
    <w:lvl w:ilvl="1" w:tplc="0D7ED772">
      <w:start w:val="1"/>
      <w:numFmt w:val="bullet"/>
      <w:lvlText w:val="○"/>
      <w:lvlJc w:val="left"/>
      <w:pPr>
        <w:ind w:left="1440" w:hanging="360"/>
      </w:pPr>
    </w:lvl>
    <w:lvl w:ilvl="2" w:tplc="B6067E56">
      <w:start w:val="1"/>
      <w:numFmt w:val="bullet"/>
      <w:lvlText w:val="■"/>
      <w:lvlJc w:val="left"/>
      <w:pPr>
        <w:ind w:left="2160" w:hanging="360"/>
      </w:pPr>
    </w:lvl>
    <w:lvl w:ilvl="3" w:tplc="490CA186">
      <w:start w:val="1"/>
      <w:numFmt w:val="bullet"/>
      <w:lvlText w:val="●"/>
      <w:lvlJc w:val="left"/>
      <w:pPr>
        <w:ind w:left="2880" w:hanging="360"/>
      </w:pPr>
    </w:lvl>
    <w:lvl w:ilvl="4" w:tplc="22AED4FE">
      <w:start w:val="1"/>
      <w:numFmt w:val="bullet"/>
      <w:lvlText w:val="○"/>
      <w:lvlJc w:val="left"/>
      <w:pPr>
        <w:ind w:left="3600" w:hanging="360"/>
      </w:pPr>
    </w:lvl>
    <w:lvl w:ilvl="5" w:tplc="A3BA8618">
      <w:start w:val="1"/>
      <w:numFmt w:val="bullet"/>
      <w:lvlText w:val="■"/>
      <w:lvlJc w:val="left"/>
      <w:pPr>
        <w:ind w:left="4320" w:hanging="360"/>
      </w:pPr>
    </w:lvl>
    <w:lvl w:ilvl="6" w:tplc="EEF014D6">
      <w:start w:val="1"/>
      <w:numFmt w:val="bullet"/>
      <w:lvlText w:val="●"/>
      <w:lvlJc w:val="left"/>
      <w:pPr>
        <w:ind w:left="5040" w:hanging="360"/>
      </w:pPr>
    </w:lvl>
    <w:lvl w:ilvl="7" w:tplc="B790A65A">
      <w:start w:val="1"/>
      <w:numFmt w:val="bullet"/>
      <w:lvlText w:val="●"/>
      <w:lvlJc w:val="left"/>
      <w:pPr>
        <w:ind w:left="5760" w:hanging="360"/>
      </w:pPr>
    </w:lvl>
    <w:lvl w:ilvl="8" w:tplc="74D0E3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5161F1"/>
    <w:multiLevelType w:val="hybridMultilevel"/>
    <w:tmpl w:val="655614FE"/>
    <w:lvl w:ilvl="0" w:tplc="DCBE17C2">
      <w:start w:val="1"/>
      <w:numFmt w:val="bullet"/>
      <w:lvlText w:val="–"/>
      <w:lvlJc w:val="left"/>
      <w:pPr>
        <w:ind w:left="1080" w:hanging="360"/>
      </w:pPr>
    </w:lvl>
    <w:lvl w:ilvl="1" w:tplc="F17A82E6">
      <w:numFmt w:val="decimal"/>
      <w:lvlText w:val=""/>
      <w:lvlJc w:val="left"/>
    </w:lvl>
    <w:lvl w:ilvl="2" w:tplc="365A8FD6">
      <w:numFmt w:val="decimal"/>
      <w:lvlText w:val=""/>
      <w:lvlJc w:val="left"/>
    </w:lvl>
    <w:lvl w:ilvl="3" w:tplc="73E82CA0">
      <w:numFmt w:val="decimal"/>
      <w:lvlText w:val=""/>
      <w:lvlJc w:val="left"/>
    </w:lvl>
    <w:lvl w:ilvl="4" w:tplc="681A4F30">
      <w:numFmt w:val="decimal"/>
      <w:lvlText w:val=""/>
      <w:lvlJc w:val="left"/>
    </w:lvl>
    <w:lvl w:ilvl="5" w:tplc="73C81992">
      <w:numFmt w:val="decimal"/>
      <w:lvlText w:val=""/>
      <w:lvlJc w:val="left"/>
    </w:lvl>
    <w:lvl w:ilvl="6" w:tplc="5378B030">
      <w:numFmt w:val="decimal"/>
      <w:lvlText w:val=""/>
      <w:lvlJc w:val="left"/>
    </w:lvl>
    <w:lvl w:ilvl="7" w:tplc="C964BE12">
      <w:numFmt w:val="decimal"/>
      <w:lvlText w:val=""/>
      <w:lvlJc w:val="left"/>
    </w:lvl>
    <w:lvl w:ilvl="8" w:tplc="3402BD0E">
      <w:numFmt w:val="decimal"/>
      <w:lvlText w:val=""/>
      <w:lvlJc w:val="left"/>
    </w:lvl>
  </w:abstractNum>
  <w:abstractNum w:abstractNumId="2" w15:restartNumberingAfterBreak="0">
    <w:nsid w:val="605D0C29"/>
    <w:multiLevelType w:val="hybridMultilevel"/>
    <w:tmpl w:val="58287348"/>
    <w:lvl w:ilvl="0" w:tplc="03B45F9C">
      <w:start w:val="1"/>
      <w:numFmt w:val="bullet"/>
      <w:lvlText w:val="•"/>
      <w:lvlJc w:val="left"/>
      <w:pPr>
        <w:ind w:left="720" w:hanging="360"/>
      </w:pPr>
    </w:lvl>
    <w:lvl w:ilvl="1" w:tplc="5E962288">
      <w:numFmt w:val="decimal"/>
      <w:lvlText w:val=""/>
      <w:lvlJc w:val="left"/>
    </w:lvl>
    <w:lvl w:ilvl="2" w:tplc="424486E8">
      <w:numFmt w:val="decimal"/>
      <w:lvlText w:val=""/>
      <w:lvlJc w:val="left"/>
    </w:lvl>
    <w:lvl w:ilvl="3" w:tplc="D9A4E798">
      <w:numFmt w:val="decimal"/>
      <w:lvlText w:val=""/>
      <w:lvlJc w:val="left"/>
    </w:lvl>
    <w:lvl w:ilvl="4" w:tplc="741A6FCE">
      <w:numFmt w:val="decimal"/>
      <w:lvlText w:val=""/>
      <w:lvlJc w:val="left"/>
    </w:lvl>
    <w:lvl w:ilvl="5" w:tplc="B622B004">
      <w:numFmt w:val="decimal"/>
      <w:lvlText w:val=""/>
      <w:lvlJc w:val="left"/>
    </w:lvl>
    <w:lvl w:ilvl="6" w:tplc="F79EFA1A">
      <w:numFmt w:val="decimal"/>
      <w:lvlText w:val=""/>
      <w:lvlJc w:val="left"/>
    </w:lvl>
    <w:lvl w:ilvl="7" w:tplc="6ECADDB2">
      <w:numFmt w:val="decimal"/>
      <w:lvlText w:val=""/>
      <w:lvlJc w:val="left"/>
    </w:lvl>
    <w:lvl w:ilvl="8" w:tplc="A1C6BADC">
      <w:numFmt w:val="decimal"/>
      <w:lvlText w:val=""/>
      <w:lvlJc w:val="left"/>
    </w:lvl>
  </w:abstractNum>
  <w:num w:numId="1" w16cid:durableId="750547162">
    <w:abstractNumId w:val="0"/>
    <w:lvlOverride w:ilvl="0">
      <w:startOverride w:val="1"/>
    </w:lvlOverride>
  </w:num>
  <w:num w:numId="2" w16cid:durableId="6827101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32C"/>
    <w:rsid w:val="001E532C"/>
    <w:rsid w:val="009D09BA"/>
    <w:rsid w:val="00A876DB"/>
    <w:rsid w:val="00E2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D5D96"/>
  <w15:docId w15:val="{28BC2412-B527-4B9A-87D4-007B1BF0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D1F3C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D1F3C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9CC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2558</Words>
  <Characters>14584</Characters>
  <Application>Microsoft Office Word</Application>
  <DocSecurity>0</DocSecurity>
  <Lines>121</Lines>
  <Paragraphs>34</Paragraphs>
  <ScaleCrop>false</ScaleCrop>
  <Company/>
  <LinksUpToDate>false</LinksUpToDate>
  <CharactersWithSpaces>17108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Pasquini</cp:lastModifiedBy>
  <cp:revision>2</cp:revision>
  <dcterms:created xsi:type="dcterms:W3CDTF">2026-05-05T04:15:00Z</dcterms:created>
  <dcterms:modified xsi:type="dcterms:W3CDTF">2026-05-05T04:15:00Z</dcterms:modified>
</cp:coreProperties>
</file>