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jc w:val="both"/>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59123805" w14:textId="0CA1946E" w:rsidR="004842D6" w:rsidRPr="00AC667A" w:rsidRDefault="004842D6" w:rsidP="00AC667A">
      <w:pPr>
        <w:spacing w:line="276" w:lineRule="auto"/>
        <w:rPr>
          <w:rFonts w:ascii="Arvo" w:hAnsi="Arvo"/>
          <w:sz w:val="2"/>
          <w:szCs w:val="2"/>
        </w:rPr>
      </w:pPr>
      <w:r w:rsidRPr="00AC667A">
        <w:rPr>
          <w:rFonts w:ascii="Arvo" w:hAnsi="Arvo"/>
          <w:sz w:val="2"/>
          <w:szCs w:val="2"/>
        </w:rPr>
        <w:t>{%p if item.subdoc %}</w:t>
      </w:r>
    </w:p>
    <w:p w14:paraId="837E51D6" w14:textId="A505E556"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4AE7B7BB" w14:textId="5B767C9B"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{{escopo.sla_titulo}}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jc w:val="both"/>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jc w:val="both"/>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E02D4100" w14:textId="03E3361F" w:rsidR="004842D6" w:rsidRPr="00AC667A" w:rsidRDefault="004842D6" w:rsidP="00AC667A">
      <w:pPr>
        <w:spacing w:line="276" w:lineRule="auto"/>
        <w:rPr>
          <w:rFonts w:ascii="Arvo" w:hAnsi="Arvo"/>
          <w:sz w:val="2"/>
          <w:szCs w:val="2"/>
        </w:rPr>
      </w:pPr>
      <w:r w:rsidRPr="00AC667A">
        <w:rPr>
          <w:rFonts w:ascii="Arvo" w:hAnsi="Arvo"/>
          <w:sz w:val="2"/>
          <w:szCs w:val="2"/>
        </w:rPr>
        <w:t>{%p if item.subdoc %}</w:t>
      </w:r>
    </w:p>
    <w:p w14:paraId="DAB0531E" w14:textId="F6ECE50E"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E480B55D" w14:textId="C76EFE0A"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consultiva.show_consolidated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contenciosa.show_consolidated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4FD3233D" w14:textId="77777777" w:rsidR="002730CB" w:rsidRPr="00AC667A" w:rsidRDefault="002730CB" w:rsidP="00AC667A">
      <w:pPr>
        <w:keepNext/>
        <w:snapToGrid w:val="0"/>
        <w:spacing w:line="276" w:lineRule="auto"/>
        <w:rPr>
          <w:rFonts w:ascii="Arvo" w:hAnsi="Arvo"/>
          <w:b/>
          <w:bCs/>
          <w:smallCaps/>
          <w:sz w:val="20"/>
          <w:szCs w:val="20"/>
        </w:rPr>
        <w:jc w:val="both"/>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jc w:val="both"/>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