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00000001" w14:textId="77777777" w:rsidR="004842D6" w:rsidRPr="00AC667A" w:rsidRDefault="004842D6" w:rsidP="00AC667A">
      <w:pPr>
        <w:spacing w:line="276" w:lineRule="auto"/>
        <w:rPr>
          <w:rFonts w:ascii="Arvo" w:hAnsi="Arvo"/>
          <w:sz w:val="20"/>
          <w:szCs w:val="20"/>
        </w:rPr>
      </w:pPr>
    </w:p>
    <w:p w14:paraId="00000002"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B:</w:t>
      </w:r>
    </w:p>
    <w:p w14:paraId="00000003"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00000004" w14:textId="77777777" w:rsidR="004842D6" w:rsidRPr="00AC667A" w:rsidRDefault="004842D6" w:rsidP="00AC667A">
      <w:pPr>
        <w:spacing w:line="276" w:lineRule="auto"/>
        <w:rPr>
          <w:rFonts w:ascii="Arvo" w:hAnsi="Arvo"/>
          <w:sz w:val="20"/>
          <w:szCs w:val="20"/>
        </w:rPr>
      </w:pPr>
    </w:p>
    <w:p w14:paraId="00000005"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C:</w:t>
      </w:r>
    </w:p>
    <w:p w14:paraId="00000006"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00000007" w14:textId="77777777" w:rsidR="004842D6" w:rsidRPr="00AC667A" w:rsidRDefault="004842D6" w:rsidP="00AC667A">
      <w:pPr>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00000008" w14:textId="77777777" w:rsidR="004842D6" w:rsidRPr="00AC667A" w:rsidRDefault="004842D6" w:rsidP="00AC667A">
      <w:pPr>
        <w:spacing w:line="276" w:lineRule="auto"/>
        <w:rPr>
          <w:rFonts w:ascii="Arvo" w:hAnsi="Arvo"/>
          <w:sz w:val="20"/>
          <w:szCs w:val="20"/>
        </w:rPr>
      </w:pPr>
    </w:p>
    <w:p w14:paraId="00000009"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B:</w:t>
      </w:r>
    </w:p>
    <w:p w14:paraId="0000000A"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0000000B" w14:textId="77777777" w:rsidR="004842D6" w:rsidRPr="00AC667A" w:rsidRDefault="004842D6" w:rsidP="00AC667A">
      <w:pPr>
        <w:spacing w:line="276" w:lineRule="auto"/>
        <w:rPr>
          <w:rFonts w:ascii="Arvo" w:hAnsi="Arvo"/>
          <w:sz w:val="20"/>
          <w:szCs w:val="20"/>
        </w:rPr>
      </w:pPr>
    </w:p>
    <w:p w14:paraId="0000000C"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C:</w:t>
      </w:r>
    </w:p>
    <w:p w14:paraId="0000000D"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0000000E"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A</w:t>
      </w:r>
    </w:p>
    <w:p>
      <w:pPr>
        <w:spacing w:line="276" w:lineRule="auto"/>
        <w:jc w:val="both"/>
        <w:rPr>
          <w:rFonts w:ascii="Arvo" w:hAnsi="Arvo"/>
          <w:sz w:val="20"/>
          <w:szCs w:val="20"/>
        </w:rPr>
      </w:pPr>
      <w:r>
        <w:rPr>
          <w:rFonts w:ascii="Arvo" w:hAnsi="Arvo"/>
          <w:sz w:val="20"/>
          <w:szCs w:val="20"/>
        </w:rPr>
        <w:t xml:space="preserve">Os honorários serão apurados conforme a tabela de senioridade abaixo, com base em relatório mensal de horas executadas.</w:t>
      </w: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tc>
          <w:tcPr>
            <w:tcW w:w="3208"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Categoria</w:t>
            </w:r>
          </w:p>
        </w:tc>
        <w:tc>
          <w:tcPr>
            <w:tcW w:w="6426"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Hora (R$)</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Sócio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R$ 1.200,00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Sênior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Pleno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Júnior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Estagiário/Paralegal</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R$ 280,00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B</w:t>
      </w:r>
    </w:p>
    <w:p>
      <w:pPr>
        <w:spacing w:line="276" w:lineRule="auto"/>
        <w:jc w:val="both"/>
        <w:rPr>
          <w:rFonts w:ascii="Arvo" w:hAnsi="Arvo"/>
          <w:sz w:val="20"/>
          <w:szCs w:val="20"/>
        </w:rPr>
      </w:pPr>
      <w:r>
        <w:rPr>
          <w:rFonts w:ascii="Arvo" w:hAnsi="Arvo"/>
          <w:sz w:val="20"/>
          <w:szCs w:val="20"/>
        </w:rPr>
        <w:t xml:space="preserve">Os honorários serão apurados com base em valor horário único, aplicável indistintamente a qualquer profissional alocado na prestação dos serviços consultivos, ao valor de R$ 700,00 por hora.</w:t>
      </w:r>
    </w:p>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C</w:t>
      </w:r>
    </w:p>
    <w:p>
      <w:pPr>
        <w:spacing w:line="276" w:lineRule="auto"/>
        <w:jc w:val="both"/>
        <w:rPr>
          <w:rFonts w:ascii="Arvo" w:hAnsi="Arvo"/>
          <w:sz w:val="20"/>
          <w:szCs w:val="20"/>
        </w:rPr>
      </w:pPr>
      <w:r>
        <w:rPr>
          <w:rFonts w:ascii="Arvo" w:hAnsi="Arvo"/>
          <w:sz w:val="20"/>
          <w:szCs w:val="20"/>
        </w:rPr>
        <w:t xml:space="preserve">Honorários fixos mensais de R$ 18.500,00, abrangendo até 35 horas de trabalho consultivo por mês. Horas excedentes ao cap serão cobradas a R$ 650,00 por hora.</w:t>
      </w:r>
    </w:p>
    <w:p>
      <w:pPr>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0000000F"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0"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1"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0000001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3"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0000001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6"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0000001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9"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A"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A</w:t>
      </w:r>
    </w:p>
    <w:p>
      <w:pPr>
        <w:spacing w:line="276" w:lineRule="auto"/>
        <w:jc w:val="both"/>
        <w:rPr>
          <w:rFonts w:ascii="Arvo" w:hAnsi="Arvo"/>
          <w:sz w:val="20"/>
          <w:szCs w:val="20"/>
        </w:rPr>
      </w:pPr>
      <w:r>
        <w:rPr>
          <w:rFonts w:ascii="Arvo" w:hAnsi="Arvo"/>
          <w:sz w:val="20"/>
          <w:szCs w:val="20"/>
        </w:rPr>
        <w:t xml:space="preserve">Os honorários serão apurados em valor mensal por processo, conforme natureza e fase, de acordo com a tabela abaixo:</w:t>
      </w: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4"/>
      </w:tblGrid>
      <w:tr>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Natureza da ação</w:t>
            </w:r>
          </w:p>
        </w:tc>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Instâncias de Atuação</w:t>
            </w:r>
          </w:p>
        </w:tc>
        <w:tc>
          <w:tcPr>
            <w:tcW w:w="28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R$ 5.500,00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Execução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R$ 3.800,00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Cível</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R$ 7.200,00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Tributária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B</w:t>
      </w:r>
    </w:p>
    <w:p>
      <w:pPr>
        <w:spacing w:line="276" w:lineRule="auto"/>
        <w:jc w:val="both"/>
        <w:rPr>
          <w:rFonts w:ascii="Arvo" w:hAnsi="Arvo"/>
          <w:sz w:val="20"/>
          <w:szCs w:val="20"/>
        </w:rPr>
      </w:pPr>
      <w:r>
        <w:rPr>
          <w:rFonts w:ascii="Arvo" w:hAnsi="Arvo"/>
          <w:sz w:val="20"/>
          <w:szCs w:val="20"/>
        </w:rPr>
        <w:t xml:space="preserve">Os honorários serão apurados por ato processual efetivamente praticado, conforme tabela:</w:t>
      </w: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4"/>
        <w:gridCol w:w="2500"/>
      </w:tblGrid>
      <w:tr>
        <w:tc>
          <w:tcPr>
            <w:tcW w:w="28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Ato Processual</w:t>
            </w:r>
          </w:p>
        </w:tc>
        <w:tc>
          <w:tcPr>
            <w:tcW w:w="43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Descrição</w:t>
            </w:r>
          </w:p>
        </w:tc>
        <w:tc>
          <w:tcPr>
            <w:tcW w:w="25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Petição Inicial</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da peça inaugural.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Contestação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defesa em processo judicial.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R$ 2.200,00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 ordinário na Justiça do Trabalho.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R$ 3.000,00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Agravo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agravo de instrumento ou agravo interno.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Apelação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apelação cível em 1º grau de jurisdição.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Especial / Extraordinário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recursos excepcionais ao STJ e STF, inclusive agravos correlatos.</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Audiência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Comparecimento, acompanhamento e atuação em audiência.</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Diligência Externa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Realização de diligência presencial em cartório, órgão público ou unidade do Contratante.</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C</w:t>
      </w:r>
    </w:p>
    <w:p>
      <w:pPr>
        <w:spacing w:line="276" w:lineRule="auto"/>
        <w:jc w:val="both"/>
        <w:rPr>
          <w:rFonts w:ascii="Arvo" w:hAnsi="Arvo"/>
          <w:sz w:val="20"/>
          <w:szCs w:val="20"/>
        </w:rPr>
      </w:pPr>
      <w:r>
        <w:rPr>
          <w:rFonts w:ascii="Arvo" w:hAnsi="Arvo"/>
          <w:sz w:val="20"/>
          <w:szCs w:val="20"/>
        </w:rPr>
        <w:t xml:space="preserve">Preço global para a condução integral do escopo delimitado: R$ 85.000,00.</w:t>
      </w:r>
    </w:p>
    <w:p>
      <w:pPr>
        <w:spacing w:line="276" w:lineRule="auto"/>
        <w:jc w:val="both"/>
        <w:rPr>
          <w:rFonts w:ascii="Arvo" w:hAnsi="Arvo"/>
          <w:sz w:val="20"/>
          <w:szCs w:val="20"/>
        </w:rPr>
      </w:pPr>
      <w:r>
        <w:rPr>
          <w:rFonts w:ascii="Arvo" w:hAnsi="Arvo"/>
          <w:sz w:val="20"/>
          <w:szCs w:val="20"/>
        </w:rPr>
        <w:t xml:space="preserve">Ações e fases cobertas: Conhecimento e Execução em primeira e segunda instâncias (TRT/TRF), incluindo embargos de declaração e demais incidentes.</w:t>
      </w:r>
    </w:p>
    <w:p>
      <w:pPr>
        <w:spacing w:line="276" w:lineRule="auto"/>
        <w:jc w:val="both"/>
        <w:rPr>
          <w:rFonts w:ascii="Arvo" w:hAnsi="Arvo"/>
          <w:sz w:val="20"/>
          <w:szCs w:val="20"/>
        </w:rPr>
      </w:pPr>
      <w:r>
        <w:rPr>
          <w:rFonts w:ascii="Arvo" w:hAnsi="Arvo"/>
          <w:sz w:val="20"/>
          <w:szCs w:val="20"/>
        </w:rPr>
        <w:t xml:space="preserve">Forma de pagamento: 40% no ato da assinatura da proposta; 30% após sentença de primeiro grau; 30% após trânsito em julgado.</w:t>
      </w:r>
    </w:p>
    <w:p>
      <w:pPr>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1D"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000001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F"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0"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