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12.345.678/0001-90</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Avenida Paulista, 1578, Bela Vista, 01310-200, São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Dra. Maria Helena Carvalho</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Telefone: (11) 98765-4321; E-mail: maria.carvalho@empresademo.com.br</w:t>
        <w:br/>
        <w:t xml:space="preserve">Telefone: (11) 3456-7890; E-mail: juridico@empresademo.com.br</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A:</w:t>
      </w:r>
    </w:p>
    <w:p w14:paraId="18300569" w14:textId="77777777" w:rsidR="004842D6" w:rsidRPr="00AC667A" w:rsidRDefault="004842D6" w:rsidP="00AC667A">
      <w:pPr>
        <w:spacing w:line="276" w:lineRule="auto"/>
        <w:rPr>
          <w:rFonts w:ascii="Arvo" w:hAnsi="Arvo"/>
          <w:sz w:val="20"/>
          <w:szCs w:val="20"/>
        </w:rPr>
      </w:pPr>
    </w:p>
    <w:p w14:paraId="00000001"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societária permanente: revisão e elaboração de atos societários (atas, alterações contratuais, acordos de sócios), pareceres em operações de M, due diligence jurídica, governança corporativa e compliance societário.</w:t>
      </w:r>
    </w:p>
    <w:p w14:paraId="00000002" w14:textId="77777777" w:rsidR="004842D6" w:rsidRPr="00AC667A" w:rsidRDefault="004842D6" w:rsidP="00AC667A">
      <w:pPr>
        <w:spacing w:line="276" w:lineRule="auto"/>
        <w:rPr>
          <w:rFonts w:ascii="Arvo" w:hAnsi="Arvo"/>
          <w:sz w:val="20"/>
          <w:szCs w:val="20"/>
        </w:rPr>
      </w:pPr>
    </w:p>
    <w:p w14:paraId="00000003"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B:</w:t>
      </w:r>
    </w:p>
    <w:p w14:paraId="00000004" w14:textId="77777777" w:rsidR="004842D6" w:rsidRPr="00AC667A" w:rsidRDefault="004842D6" w:rsidP="00AC667A">
      <w:pPr>
        <w:spacing w:line="276" w:lineRule="auto"/>
        <w:rPr>
          <w:rFonts w:ascii="Arvo" w:hAnsi="Arvo"/>
          <w:sz w:val="20"/>
          <w:szCs w:val="20"/>
        </w:rPr>
      </w:pPr>
    </w:p>
    <w:p w14:paraId="00000005"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contratual: revisão, elaboração e negociação de contratos comerciais (prestação de serviços, fornecimento, distribuição, franquia, licenciamento), termos de uso, políticas de privacidade e adequação à LGPD.</w:t>
      </w:r>
    </w:p>
    <w:p w14:paraId="00000006" w14:textId="77777777" w:rsidR="004842D6" w:rsidRPr="00AC667A" w:rsidRDefault="004842D6" w:rsidP="00AC667A">
      <w:pPr>
        <w:spacing w:line="276" w:lineRule="auto"/>
        <w:rPr>
          <w:rFonts w:ascii="Arvo" w:hAnsi="Arvo"/>
          <w:sz w:val="20"/>
          <w:szCs w:val="20"/>
        </w:rPr>
      </w:pPr>
    </w:p>
    <w:p w14:paraId="00000007"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C:</w:t>
      </w:r>
    </w:p>
    <w:p w14:paraId="00000008" w14:textId="77777777" w:rsidR="004842D6" w:rsidRPr="00AC667A" w:rsidRDefault="004842D6" w:rsidP="00AC667A">
      <w:pPr>
        <w:spacing w:line="276" w:lineRule="auto"/>
        <w:rPr>
          <w:rFonts w:ascii="Arvo" w:hAnsi="Arvo"/>
          <w:sz w:val="20"/>
          <w:szCs w:val="20"/>
        </w:rPr>
      </w:pPr>
    </w:p>
    <w:p w14:paraId="0000000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trabalhista e regulatória: orientações em rotinas de RH, elaboração de políticas internas, programas de integridade, treinamentos in company, pareceres regulatórios (ANATEL, ANEEL, CVM) e acompanhamento de obrigações acessórias.</w:t>
      </w:r>
    </w:p>
    <w:p w14:paraId="0000000A" w14:textId="77777777" w:rsidR="004842D6" w:rsidRPr="00AC667A" w:rsidRDefault="004842D6" w:rsidP="00AC667A">
      <w:pPr>
        <w:spacing w:line="276" w:lineRule="auto"/>
        <w:rPr>
          <w:rFonts w:ascii="Arvo" w:hAnsi="Arvo"/>
          <w:sz w:val="20"/>
          <w:szCs w:val="20"/>
        </w:rPr>
      </w:pP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Prazos de Entrega/SLA dos Escopos Consultivos</w:t>
      </w:r>
    </w:p>
    <w:p w14:paraId="73251579" w14:textId="77777777" w:rsidR="004842D6" w:rsidRPr="00AC667A" w:rsidRDefault="004842D6" w:rsidP="00AC667A">
      <w:pPr>
        <w:spacing w:line="276" w:lineRule="auto"/>
        <w:rPr>
          <w:rFonts w:ascii="Arvo" w:hAnsi="Arvo"/>
          <w:sz w:val="20"/>
          <w:szCs w:val="20"/>
        </w:rPr>
      </w:pPr>
    </w:p>
    <w:p w14:paraId="0000000B"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 xml:space="preserve">Demandas de baixa complexidade: até 3 dias úteis;</w:t>
        <w:br/>
        <w:t xml:space="preserve">Demandas de média complexidade: até 5 dias úteis;</w:t>
        <w:br/>
        <w:t xml:space="preserve">Demandas de alta complexidade (ou em língua estrangeira): entre 5 e 10 dias úteis.</w:t>
        <w:br/>
        <w:t xml:space="preserve">Projetos de altíssima complexidade ou alto volume: prazo a definir em conjunto com o Contratante.</w:t>
        <w:br/>
        <w:t xml:space="preserve">Solicitações de urgência fora do SLA acima poderão ser atendidas mediante alinhamento entre as Partes e disponibilidade.</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A:</w:t>
      </w:r>
    </w:p>
    <w:p w14:paraId="256F7D4F" w14:textId="77777777" w:rsidR="004842D6" w:rsidRPr="00AC667A" w:rsidRDefault="004842D6" w:rsidP="00AC667A">
      <w:pPr>
        <w:spacing w:line="276" w:lineRule="auto"/>
        <w:rPr>
          <w:rFonts w:ascii="Arvo" w:hAnsi="Arvo"/>
          <w:sz w:val="20"/>
          <w:szCs w:val="20"/>
        </w:rPr>
      </w:pPr>
    </w:p>
    <w:p w14:paraId="0000000C"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trabalhista de massa: defesa em reclamações trabalhistas em primeira e segunda instâncias, fase de conhecimento e execução, em todos os TRTs do território nacional, incluindo audiências e recursos.</w:t>
      </w:r>
    </w:p>
    <w:p w14:paraId="0000000D" w14:textId="77777777" w:rsidR="004842D6" w:rsidRPr="00AC667A" w:rsidRDefault="004842D6" w:rsidP="00AC667A">
      <w:pPr>
        <w:spacing w:line="276" w:lineRule="auto"/>
        <w:rPr>
          <w:rFonts w:ascii="Arvo" w:hAnsi="Arvo"/>
          <w:sz w:val="20"/>
          <w:szCs w:val="20"/>
        </w:rPr>
      </w:pPr>
    </w:p>
    <w:p w14:paraId="0000000E"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B:</w:t>
      </w:r>
    </w:p>
    <w:p w14:paraId="0000000F" w14:textId="77777777" w:rsidR="004842D6" w:rsidRPr="00AC667A" w:rsidRDefault="004842D6" w:rsidP="00AC667A">
      <w:pPr>
        <w:spacing w:line="276" w:lineRule="auto"/>
        <w:rPr>
          <w:rFonts w:ascii="Arvo" w:hAnsi="Arvo"/>
          <w:sz w:val="20"/>
          <w:szCs w:val="20"/>
        </w:rPr>
      </w:pPr>
    </w:p>
    <w:p w14:paraId="00000010"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cível estratégico: defesa em ações cíveis de alta complexidade — ações de cobrança, indenizatórias, ações coletivas — perante juízos cíveis estaduais e federais, com atuação por ato processual.</w:t>
      </w:r>
    </w:p>
    <w:p w14:paraId="00000011" w14:textId="77777777" w:rsidR="004842D6" w:rsidRPr="00AC667A" w:rsidRDefault="004842D6" w:rsidP="00AC667A">
      <w:pPr>
        <w:spacing w:line="276" w:lineRule="auto"/>
        <w:rPr>
          <w:rFonts w:ascii="Arvo" w:hAnsi="Arvo"/>
          <w:sz w:val="20"/>
          <w:szCs w:val="20"/>
        </w:rPr>
      </w:pPr>
    </w:p>
    <w:p w14:paraId="00000012"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C:</w:t>
      </w:r>
    </w:p>
    <w:p w14:paraId="00000013" w14:textId="77777777" w:rsidR="004842D6" w:rsidRPr="00AC667A" w:rsidRDefault="004842D6" w:rsidP="00AC667A">
      <w:pPr>
        <w:spacing w:line="276" w:lineRule="auto"/>
        <w:rPr>
          <w:rFonts w:ascii="Arvo" w:hAnsi="Arvo"/>
          <w:sz w:val="20"/>
          <w:szCs w:val="20"/>
        </w:rPr>
      </w:pPr>
    </w:p>
    <w:p w14:paraId="00000014"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Litígio tributário projeto-único: condução integral de mandado de segurança e subsequente ação ordinária visando recuperação de créditos de PIS/COFINS sobre ICMS, com acompanhamento em todas as instâncias até o STF.</w:t>
      </w:r>
    </w:p>
    <w:p w14:paraId="00000015" w14:textId="77777777" w:rsidR="004842D6" w:rsidRPr="00AC667A" w:rsidRDefault="004842D6" w:rsidP="00AC667A">
      <w:pPr>
        <w:spacing w:line="276" w:lineRule="auto"/>
        <w:rPr>
          <w:rFonts w:ascii="Arvo" w:hAnsi="Arvo"/>
          <w:sz w:val="20"/>
          <w:szCs w:val="20"/>
        </w:rPr>
      </w:pPr>
    </w:p>
    <w:p w14:paraId="00000016"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00000017" w14:textId="77777777" w:rsidR="004842D6" w:rsidRPr="00AC667A" w:rsidRDefault="004842D6" w:rsidP="00AC667A">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A</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conforme a tabela de senioridade abaixo, com base em relatório mensal de horas executadas.</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tc>
          <w:tcPr>
            <w:tcW w:w="3208"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Categoria</w:t>
            </w:r>
          </w:p>
        </w:tc>
        <w:tc>
          <w:tcPr>
            <w:tcW w:w="6426"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Hora (R$)</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Sócio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R$ 1.200,00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Sênior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Pleno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Júnior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Estagiário/Paralegal</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R$ 280,00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B</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com base em valor horário único, aplicável indistintamente a qualquer profissional alocado na prestação dos serviços consultivos, ao valor de R$ 700,00 por hora.</w:t>
      </w:r>
    </w:p>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C</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fixados em valor mensal pré-estabelecido, abrangendo um cap de horas inclusas. Horas excedentes ao cap serão cobradas separadamente.</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R$ 18.500,00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35 horas horas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w:t>
            </w:r>
          </w:p>
        </w:tc>
      </w:tr>
    </w:tbl>
    <w:p>
      <w:pPr>
        <w:spacing w:line="276" w:lineRule="auto"/>
        <w:rPr>
          <w:rFonts w:ascii="Arvo" w:hAnsi="Arvo"/>
          <w:sz w:val="20"/>
          <w:szCs w:val="20"/>
        </w:rPr>
      </w:pP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15%</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R$ 1.200,00</w:t>
            </w:r>
          </w:p>
        </w:tc>
      </w:tr>
      <w:tr w:rsidR="00D55EBC" w:rsidRPr="00AC667A" w14:paraId="0000001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9"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A"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R$ 950,00</w:t>
            </w:r>
          </w:p>
        </w:tc>
      </w:tr>
      <w:tr w:rsidR="00D55EBC" w:rsidRPr="00AC667A" w14:paraId="0000001B"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C"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R$ 750,00</w:t>
            </w:r>
          </w:p>
        </w:tc>
      </w:tr>
      <w:tr w:rsidR="00D55EBC" w:rsidRPr="00AC667A" w14:paraId="0000001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F"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20"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r w:rsidR="00D55EBC" w:rsidRPr="00AC667A" w14:paraId="0000002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2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R$ 280,00</w:t>
            </w:r>
          </w:p>
        </w:tc>
      </w:tr>
    </w:tbl>
    <w:p w14:paraId="52B3FC8B" w14:textId="77777777" w:rsidR="00D55EBC" w:rsidRPr="00AC667A" w:rsidRDefault="00D55EBC" w:rsidP="00AC667A">
      <w:pPr>
        <w:snapToGrid w:val="0"/>
        <w:spacing w:line="276" w:lineRule="auto"/>
        <w:rPr>
          <w:rFonts w:ascii="Arvo" w:hAnsi="Arvo"/>
          <w:sz w:val="20"/>
          <w:szCs w:val="20"/>
        </w:rPr>
      </w:pPr>
    </w:p>
    <w:p w14:paraId="0000002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00000025" w14:textId="77777777" w:rsidR="004842D6" w:rsidRPr="00AC667A" w:rsidRDefault="004842D6" w:rsidP="00AC667A">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A</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conforme valor mensal por processo em curso, conforme a natureza da ação e fase processual coberta pela atuação, nos termos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834"/>
      </w:tblGrid>
      <w:tr>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Natureza da Ação</w:t>
            </w:r>
          </w:p>
        </w:tc>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Instâncias de Atuação</w:t>
            </w:r>
          </w:p>
        </w:tc>
        <w:tc>
          <w:tcPr>
            <w:tcW w:w="28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Ação (R$)</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R$ 5.500,00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Execução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R$ 3.800,00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Cível</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R$ 7.200,00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Tributária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B</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apurados por ato processual efetivamente praticado pelo Contratado, conforme os valores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4"/>
        <w:gridCol w:w="2500"/>
      </w:tblGrid>
      <w:tr>
        <w:tc>
          <w:tcPr>
            <w:tcW w:w="28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Ato Processual</w:t>
            </w:r>
          </w:p>
        </w:tc>
        <w:tc>
          <w:tcPr>
            <w:tcW w:w="43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Descrição</w:t>
            </w:r>
          </w:p>
        </w:tc>
        <w:tc>
          <w:tcPr>
            <w:tcW w:w="25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(R$)</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Petição Inicial</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da peça inaugural.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Contestação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defesa em processo judicial.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R$ 2.200,00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 ordinário na Justiça do Trabalho.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R$ 3.000,00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Agravo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agravo de instrumento ou agravo interno.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Apelação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apelação cível em 1º grau de jurisdição.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Especial / Extraordinário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recursos excepcionais ao STJ e STF, inclusive agravos correlatos.</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Audiência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Comparecimento, acompanhamento e atuação em audiência.</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Diligência Externa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Realização de diligência presencial em cartório, órgão público ou unidade do Contratante.</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C</w:t>
      </w:r>
    </w:p>
    <w:p>
      <w:pPr>
        <w:spacing w:line="276" w:lineRule="auto"/>
        <w:rPr>
          <w:rFonts w:ascii="Arvo" w:hAnsi="Arvo"/>
          <w:sz w:val="20"/>
          <w:szCs w:val="20"/>
        </w:rPr>
      </w:pPr>
    </w:p>
    <w:p>
      <w:pPr>
        <w:spacing w:line="276" w:lineRule="auto"/>
        <w:jc w:val="both"/>
        <w:rPr>
          <w:rFonts w:ascii="Arvo" w:hAnsi="Arvo"/>
          <w:sz w:val="20"/>
          <w:szCs w:val="20"/>
        </w:rPr>
      </w:pPr>
      <w:r>
        <w:rPr>
          <w:rFonts w:ascii="Arvo" w:hAnsi="Arvo"/>
          <w:sz w:val="20"/>
          <w:szCs w:val="20"/>
        </w:rPr>
        <w:t xml:space="preserve">Os honorários serão fixados em valor global fechado para a condução integral do escopo delimitado, distribuído conforme o cronograma de pagamento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 e Execução em primeira e segunda instâncias (TRT/TRF), incluindo embargos de declaração e demais incidentes.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Cronograma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40% no ato da assinatura da proposta; 30% após sentença de primeiro grau; 30% após trânsito em julgado.</w:t>
            </w:r>
          </w:p>
        </w:tc>
      </w:tr>
    </w:tbl>
    <w:p>
      <w:pPr>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26"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8"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w:t>
            </w:r>
          </w:p>
        </w:tc>
      </w:tr>
      <w:tr w:rsidR="00946CCF" w:rsidRPr="00AC667A" w14:paraId="0000002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2A"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Periciais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B"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Honorários periciais e custos de assistente técnico, suportados conforme determinação judicial e prévia ciência ao Contratante.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R$ 75,00 por processo/mês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000002C"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 xml:space="preserve">1. Cláusula de não solicitação de colaboradores: as Partes se comprometem a não contratar ou solicitar serviços de colaboradores da outra Parte durante a vigência deste contrato e pelo período de 12 (doze) meses após seu término.</w:t>
        <w:br/>
        <w:t xml:space="preserve"/>
        <w:br/>
        <w:t xml:space="preserve">2. Confidencialidade reforçada: aplicar-se-á NDA específico para informações classificadas como estratégicas pelo Contratante, com prazo de confidencialidade de 5 (cinco) anos.</w:t>
        <w:br/>
        <w:t xml:space="preserve"/>
        <w:br/>
        <w:t xml:space="preserve">3. Reajuste anual: os honorários previstos nesta proposta serão reajustados anualmente pelo IPCA-IBGE acumulado nos 12 meses anteriores, aplicado na data-base da assinatura.</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