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xml:space="preserve"/>
      </w:r>
      <w:r>
        <w:rPr>
          <w:rFonts w:ascii="Arvo" w:hAnsi="Arvo"/>
          <w:sz w:val="20"/>
          <w:szCs w:val="20"/>
        </w:rPr>
        <w:t>CNPJ</w:t>
      </w:r>
      <w:r w:rsidRPr="00AC667A">
        <w:rPr>
          <w:rFonts w:ascii="Arvo" w:hAnsi="Arvo"/>
          <w:sz w:val="20"/>
          <w:szCs w:val="20"/>
        </w:rPr>
        <w:t xml:space="preserve"/>
      </w:r>
      <w:r>
        <w:rPr>
          <w:rFonts w:ascii="Arvo" w:hAnsi="Arvo"/>
          <w:sz w:val="20"/>
          <w:szCs w:val="20"/>
        </w:rPr>
        <w:t xml:space="preserve">: </w:t>
      </w:r>
      <w:r w:rsidR="004842D6" w:rsidRPr="00AC667A">
        <w:rPr>
          <w:rFonts w:ascii="Arvo" w:hAnsi="Arvo"/>
          <w:sz w:val="20"/>
          <w:szCs w:val="20"/>
        </w:rPr>
        <w:t xml:space="preserve">12.345.678/0001-90</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Avenida Paulista, 1578, Bela Vista, 01310-200, São Paulo/SP</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A/C: Dra. Maria Helena Carvalho</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Telefone: (11) 98765-4321; E-mail: maria.carvalho@empresademo.com.br</w:t>
        <w:br/>
        <w:t xml:space="preserve">Telefone: (11) 3456-7890; E-mail: juridico@empresademo.com.br</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A:</w:t>
      </w: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societária permanente: revisão e elaboração de atos societários (atas, alterações contratuais, acordos de sócios), pareceres em operações de M, due diligence jurídica, governança corporativa e compliance societário.</w:t>
      </w:r>
    </w:p>
    <w:p w14:paraId="00000001" w14:textId="77777777" w:rsidR="004842D6" w:rsidRPr="00AC667A" w:rsidRDefault="004842D6" w:rsidP="00AC667A">
      <w:pPr>
        <w:spacing w:line="276" w:lineRule="auto"/>
        <w:rPr>
          <w:rFonts w:ascii="Arvo" w:hAnsi="Arvo"/>
          <w:sz w:val="20"/>
          <w:szCs w:val="20"/>
        </w:rPr>
      </w:pPr>
    </w:p>
    <w:p w14:paraId="00000002"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B:</w:t>
      </w:r>
    </w:p>
    <w:p w14:paraId="00000003"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contratual: revisão, elaboração e negociação de contratos comerciais (prestação de serviços, fornecimento, distribuição, franquia, licenciamento), termos de uso, políticas de privacidade e adequação à LGPD.</w:t>
      </w:r>
    </w:p>
    <w:p w14:paraId="00000004" w14:textId="77777777" w:rsidR="004842D6" w:rsidRPr="00AC667A" w:rsidRDefault="004842D6" w:rsidP="00AC667A">
      <w:pPr>
        <w:spacing w:line="276" w:lineRule="auto"/>
        <w:rPr>
          <w:rFonts w:ascii="Arvo" w:hAnsi="Arvo"/>
          <w:sz w:val="20"/>
          <w:szCs w:val="20"/>
        </w:rPr>
      </w:pPr>
    </w:p>
    <w:p w14:paraId="00000005"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C:</w:t>
      </w:r>
    </w:p>
    <w:p w14:paraId="00000006"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trabalhista e regulatória: orientações em rotinas de RH, elaboração de políticas internas, programas de integridade, treinamentos in company, pareceres regulatórios (ANATEL, ANEEL, CVM) e acompanhamento de obrigações acessórias.</w:t>
      </w:r>
    </w:p>
    <w:p w14:paraId="00000007" w14:textId="77777777" w:rsidR="004842D6" w:rsidRPr="00AC667A" w:rsidRDefault="004842D6" w:rsidP="00AC667A">
      <w:pPr>
        <w:spacing w:line="276" w:lineRule="auto"/>
        <w:rPr>
          <w:rFonts w:ascii="Arvo" w:hAnsi="Arvo"/>
          <w:sz w:val="20"/>
          <w:szCs w:val="20"/>
        </w:rPr>
      </w:pPr>
    </w:p>
    <w:p w14:paraId="7E35DB25"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 xml:space="preserve">Demandas de baixa complexidade: até 3 dias úteis;</w:t>
        <w:br/>
        <w:t xml:space="preserve">Demandas de média complexidade: até 5 dias úteis;</w:t>
        <w:br/>
        <w:t xml:space="preserve">Demandas de alta complexidade (ou em língua estrangeira): entre 5 e 10 dias úteis.</w:t>
        <w:br/>
        <w:t xml:space="preserve">Projetos de altíssima complexidade ou alto volume: prazo a definir em conjunto com o Contratante.</w:t>
        <w:br/>
        <w:t xml:space="preserve">Solicitações de urgência fora do SLA acima poderão ser atendidas mediante alinhamento entre as Partes e disponibilidade.</w:t>
      </w:r>
    </w:p>
    <w:p w14:paraId="03C2BF0C" w14:textId="77777777" w:rsidR="004842D6" w:rsidRPr="00AC667A" w:rsidRDefault="004842D6" w:rsidP="00AC667A">
      <w:pPr>
        <w:snapToGrid w:val="0"/>
        <w:spacing w:line="276" w:lineRule="auto"/>
        <w:rPr>
          <w:rFonts w:ascii="Arvo" w:hAnsi="Arvo"/>
          <w:sz w:val="20"/>
          <w:szCs w:val="20"/>
        </w:rPr>
      </w:pP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A:</w:t>
      </w: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Contencioso trabalhista de massa: defesa em reclamações trabalhistas em primeira e segunda instâncias, fase de conhecimento e execução, em todos os TRTs do território nacional, incluindo audiências e recursos.</w:t>
      </w:r>
    </w:p>
    <w:p w14:paraId="00000008" w14:textId="77777777" w:rsidR="004842D6" w:rsidRPr="00AC667A" w:rsidRDefault="004842D6" w:rsidP="00AC667A">
      <w:pPr>
        <w:spacing w:line="276" w:lineRule="auto"/>
        <w:rPr>
          <w:rFonts w:ascii="Arvo" w:hAnsi="Arvo"/>
          <w:sz w:val="20"/>
          <w:szCs w:val="20"/>
        </w:rPr>
      </w:pPr>
    </w:p>
    <w:p w14:paraId="00000009"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B:</w:t>
      </w:r>
    </w:p>
    <w:p w14:paraId="0000000A"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Contencioso cível estratégico: defesa em ações cíveis de alta complexidade — ações de cobrança, indenizatórias, ações coletivas — perante juízos cíveis estaduais e federais, com atuação por ato processual.</w:t>
      </w:r>
    </w:p>
    <w:p w14:paraId="0000000B" w14:textId="77777777" w:rsidR="004842D6" w:rsidRPr="00AC667A" w:rsidRDefault="004842D6" w:rsidP="00AC667A">
      <w:pPr>
        <w:spacing w:line="276" w:lineRule="auto"/>
        <w:rPr>
          <w:rFonts w:ascii="Arvo" w:hAnsi="Arvo"/>
          <w:sz w:val="20"/>
          <w:szCs w:val="20"/>
        </w:rPr>
      </w:pPr>
    </w:p>
    <w:p w14:paraId="0000000C"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C:</w:t>
      </w:r>
    </w:p>
    <w:p w14:paraId="0000000D"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Litígio tributário projeto-único: condução integral de mandado de segurança e subsequente ação ordinária visando recuperação de créditos de PIS/COFINS sobre ICMS, com acompanhamento em todas as instâncias até o STF.</w:t>
      </w:r>
    </w:p>
    <w:p w14:paraId="0000000E" w14:textId="77777777" w:rsidR="004842D6" w:rsidRPr="00AC667A" w:rsidRDefault="004842D6" w:rsidP="00AC667A">
      <w:pPr>
        <w:spacing w:line="276" w:lineRule="auto"/>
        <w:rPr>
          <w:rFonts w:ascii="Arvo" w:hAnsi="Arvo"/>
          <w:sz w:val="20"/>
          <w:szCs w:val="20"/>
        </w:rPr>
      </w:pPr>
    </w:p>
    <w:p>
      <w:r>
        <w:rPr>
          <w:rFonts w:ascii="Arvo" w:hAnsi="Arvo"/>
          <w:b/>
          <w:sz w:val="20"/>
        </w:rPr>
        <w:t>Honorários — Escopo Consultivo A</w:t>
      </w:r>
    </w:p>
    <w:p>
      <w:pPr>
        <w:jc w:val="both"/>
      </w:pPr>
      <w:r>
        <w:rPr>
          <w:rFonts w:ascii="Arvo" w:hAnsi="Arvo"/>
          <w:sz w:val="20"/>
        </w:rPr>
        <w:t>Os honorários serão apurados conforme a tabela de senioridade abaixo, com base em relatório mensal de horas executadas.</w:t>
      </w:r>
    </w:p>
    <w:tbl>
      <w:tblPr>
        <w:tblW w:type="auto" w:w="0"/>
        <w:tblLook w:firstColumn="1" w:firstRow="1" w:lastColumn="0" w:lastRow="0" w:noHBand="0" w:noVBand="1" w:val="04A0"/>
        <w:tblBorders>
          <w:top w:val="single" w:sz="4" w:space="0" w:color="auto"/>
          <w:left w:val="single" w:sz="4" w:space="0" w:color="auto"/>
          <w:right w:val="single" w:sz="4" w:space="0" w:color="auto"/>
          <w:insideH w:val="single" w:sz="4" w:space="0" w:color="auto"/>
          <w:insideV w:val="single" w:sz="4" w:space="0" w:color="auto"/>
        </w:tblBorders>
      </w:tblPr>
      <w:tblGrid>
        <w:gridCol w:w="4320"/>
        <w:gridCol w:w="4320"/>
      </w:tblGrid>
      <w:tr>
        <w:tc>
          <w:tcPr>
            <w:tcW w:type="dxa" w:w="4320"/>
          </w:tcPr>
          <w:p>
            <w:pPr>
              <w:jc w:val="left"/>
            </w:pPr>
            <w:r/>
            <w:r>
              <w:rPr>
                <w:rFonts w:ascii="Arvo" w:hAnsi="Arvo"/>
                <w:b/>
                <w:sz w:val="20"/>
              </w:rPr>
              <w:t>Categoria</w:t>
            </w:r>
          </w:p>
        </w:tc>
        <w:tc>
          <w:tcPr>
            <w:tcW w:type="dxa" w:w="4320"/>
          </w:tcPr>
          <w:p>
            <w:pPr>
              <w:jc w:val="left"/>
            </w:pPr>
            <w:r/>
            <w:r>
              <w:rPr>
                <w:rFonts w:ascii="Arvo" w:hAnsi="Arvo"/>
                <w:b/>
                <w:sz w:val="20"/>
              </w:rPr>
              <w:t>Valor por hora</w:t>
            </w:r>
          </w:p>
        </w:tc>
      </w:tr>
      <w:tr>
        <w:tc>
          <w:tcPr>
            <w:tcW w:type="dxa" w:w="4320"/>
          </w:tcPr>
          <w:p>
            <w:pPr>
              <w:jc w:val="left"/>
            </w:pPr>
            <w:r/>
            <w:r>
              <w:rPr>
                <w:rFonts w:ascii="Arvo" w:hAnsi="Arvo"/>
                <w:sz w:val="20"/>
              </w:rPr>
              <w:t>Sócio</w:t>
            </w:r>
          </w:p>
        </w:tc>
        <w:tc>
          <w:tcPr>
            <w:tcW w:type="dxa" w:w="4320"/>
          </w:tcPr>
          <w:p>
            <w:pPr>
              <w:jc w:val="left"/>
            </w:pPr>
            <w:r/>
            <w:r>
              <w:rPr>
                <w:rFonts w:ascii="Arvo" w:hAnsi="Arvo"/>
                <w:sz w:val="20"/>
              </w:rPr>
              <w:t>R$ 1.200,00</w:t>
            </w:r>
          </w:p>
        </w:tc>
      </w:tr>
      <w:tr>
        <w:tc>
          <w:tcPr>
            <w:tcW w:type="dxa" w:w="4320"/>
          </w:tcPr>
          <w:p>
            <w:pPr>
              <w:jc w:val="left"/>
            </w:pPr>
            <w:r/>
            <w:r>
              <w:rPr>
                <w:rFonts w:ascii="Arvo" w:hAnsi="Arvo"/>
                <w:sz w:val="20"/>
              </w:rPr>
              <w:t>Associado Sênior</w:t>
            </w:r>
          </w:p>
        </w:tc>
        <w:tc>
          <w:tcPr>
            <w:tcW w:type="dxa" w:w="4320"/>
          </w:tcPr>
          <w:p>
            <w:pPr>
              <w:jc w:val="left"/>
            </w:pPr>
            <w:r/>
            <w:r>
              <w:rPr>
                <w:rFonts w:ascii="Arvo" w:hAnsi="Arvo"/>
                <w:sz w:val="20"/>
              </w:rPr>
              <w:t>R$ 950,00</w:t>
            </w:r>
          </w:p>
        </w:tc>
      </w:tr>
      <w:tr>
        <w:tc>
          <w:tcPr>
            <w:tcW w:type="dxa" w:w="4320"/>
          </w:tcPr>
          <w:p>
            <w:pPr>
              <w:jc w:val="left"/>
            </w:pPr>
            <w:r/>
            <w:r>
              <w:rPr>
                <w:rFonts w:ascii="Arvo" w:hAnsi="Arvo"/>
                <w:sz w:val="20"/>
              </w:rPr>
              <w:t>Associado Pleno</w:t>
            </w:r>
          </w:p>
        </w:tc>
        <w:tc>
          <w:tcPr>
            <w:tcW w:type="dxa" w:w="4320"/>
          </w:tcPr>
          <w:p>
            <w:pPr>
              <w:jc w:val="left"/>
            </w:pPr>
            <w:r/>
            <w:r>
              <w:rPr>
                <w:rFonts w:ascii="Arvo" w:hAnsi="Arvo"/>
                <w:sz w:val="20"/>
              </w:rPr>
              <w:t>R$ 750,00</w:t>
            </w:r>
          </w:p>
        </w:tc>
      </w:tr>
      <w:tr>
        <w:tc>
          <w:tcPr>
            <w:tcW w:type="dxa" w:w="4320"/>
          </w:tcPr>
          <w:p>
            <w:pPr>
              <w:jc w:val="left"/>
            </w:pPr>
            <w:r/>
            <w:r>
              <w:rPr>
                <w:rFonts w:ascii="Arvo" w:hAnsi="Arvo"/>
                <w:sz w:val="20"/>
              </w:rPr>
              <w:t>Associado Júnior</w:t>
            </w:r>
          </w:p>
        </w:tc>
        <w:tc>
          <w:tcPr>
            <w:tcW w:type="dxa" w:w="4320"/>
          </w:tcPr>
          <w:p>
            <w:pPr>
              <w:jc w:val="left"/>
            </w:pPr>
            <w:r/>
            <w:r>
              <w:rPr>
                <w:rFonts w:ascii="Arvo" w:hAnsi="Arvo"/>
                <w:sz w:val="20"/>
              </w:rPr>
              <w:t>R$ 500,00</w:t>
            </w:r>
          </w:p>
        </w:tc>
      </w:tr>
      <w:tr>
        <w:tc>
          <w:tcPr>
            <w:tcW w:type="dxa" w:w="4320"/>
          </w:tcPr>
          <w:p>
            <w:pPr>
              <w:jc w:val="left"/>
            </w:pPr>
            <w:r/>
            <w:r>
              <w:rPr>
                <w:rFonts w:ascii="Arvo" w:hAnsi="Arvo"/>
                <w:sz w:val="20"/>
              </w:rPr>
              <w:t>Estagiário/Paralegal</w:t>
            </w:r>
          </w:p>
        </w:tc>
        <w:tc>
          <w:tcPr>
            <w:tcW w:type="dxa" w:w="4320"/>
          </w:tcPr>
          <w:p>
            <w:pPr>
              <w:jc w:val="left"/>
            </w:pPr>
            <w:r/>
            <w:r>
              <w:rPr>
                <w:rFonts w:ascii="Arvo" w:hAnsi="Arvo"/>
                <w:sz w:val="20"/>
              </w:rPr>
              <w:t>R$ 280,00</w:t>
            </w:r>
          </w:p>
        </w:tc>
      </w:tr>
    </w:tbl>
    <w:p>
      <w:r>
        <w:rPr>
          <w:rFonts w:ascii="Arvo" w:hAnsi="Arvo"/>
          <w:sz w:val="20"/>
        </w:rPr>
      </w:r>
    </w:p>
    <w:p>
      <w:r>
        <w:rPr>
          <w:rFonts w:ascii="Arvo" w:hAnsi="Arvo"/>
          <w:b/>
          <w:sz w:val="20"/>
        </w:rPr>
        <w:t>Honorários — Escopo Consultivo B</w:t>
      </w:r>
    </w:p>
    <w:p>
      <w:pPr>
        <w:jc w:val="both"/>
      </w:pPr>
      <w:r>
        <w:rPr>
          <w:rFonts w:ascii="Arvo" w:hAnsi="Arvo"/>
          <w:sz w:val="20"/>
        </w:rPr>
        <w:t>Os honorários serão apurados com base em valor horário único, aplicável indistintamente a qualquer profissional alocado na prestação dos serviços consultivos, ao valor de R$ 700,00 por hora.</w:t>
      </w:r>
    </w:p>
    <w:p>
      <w:r>
        <w:rPr>
          <w:rFonts w:ascii="Arvo" w:hAnsi="Arvo"/>
          <w:sz w:val="20"/>
        </w:rPr>
      </w:r>
    </w:p>
    <w:p>
      <w:r>
        <w:rPr>
          <w:rFonts w:ascii="Arvo" w:hAnsi="Arvo"/>
          <w:b/>
          <w:sz w:val="20"/>
        </w:rPr>
        <w:t>Honorários — Escopo Consultivo C</w:t>
      </w:r>
    </w:p>
    <w:p>
      <w:pPr>
        <w:jc w:val="both"/>
      </w:pPr>
      <w:r>
        <w:rPr>
          <w:rFonts w:ascii="Arvo" w:hAnsi="Arvo"/>
          <w:sz w:val="20"/>
        </w:rPr>
        <w:t>Honorários fixos mensais de R$ 18.500,00, abrangendo até 35 horas de trabalho consultivo por mês. Horas excedentes ao cap serão cobradas a R$ 650,00 por hora.</w:t>
      </w:r>
    </w:p>
    <w:p>
      <w:r>
        <w:rPr>
          <w:rFonts w:ascii="Arvo" w:hAnsi="Arvo"/>
          <w:sz w:val="20"/>
        </w:rPr>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15%</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R$ 1.200,00</w:t>
            </w:r>
          </w:p>
        </w:tc>
      </w:tr>
      <w:tr w:rsidR="00D55EBC" w:rsidRPr="00AC667A" w14:paraId="0000000F"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0"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1"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R$ 950,00</w:t>
            </w:r>
          </w:p>
        </w:tc>
      </w:tr>
      <w:tr w:rsidR="00D55EBC" w:rsidRPr="00AC667A" w14:paraId="0000001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3"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R$ 750,00</w:t>
            </w:r>
          </w:p>
        </w:tc>
      </w:tr>
      <w:tr w:rsidR="00D55EBC" w:rsidRPr="00AC667A" w14:paraId="00000015"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6"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7"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R$ 500,00</w:t>
            </w:r>
          </w:p>
        </w:tc>
      </w:tr>
      <w:tr w:rsidR="00D55EBC" w:rsidRPr="00AC667A" w14:paraId="0000001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9"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A"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R$ 280,00</w:t>
            </w:r>
          </w:p>
        </w:tc>
      </w:tr>
    </w:tbl>
    <w:p w14:paraId="52B3FC8B" w14:textId="77777777" w:rsidR="00D55EBC" w:rsidRPr="00AC667A" w:rsidRDefault="00D55EBC" w:rsidP="00AC667A">
      <w:pPr>
        <w:snapToGrid w:val="0"/>
        <w:spacing w:line="276" w:lineRule="auto"/>
        <w:rPr>
          <w:rFonts w:ascii="Arvo" w:hAnsi="Arvo"/>
          <w:sz w:val="20"/>
          <w:szCs w:val="20"/>
        </w:rPr>
      </w:pPr>
    </w:p>
    <w:p>
      <w:r>
        <w:rPr>
          <w:rFonts w:ascii="Arvo" w:hAnsi="Arvo"/>
          <w:b/>
          <w:sz w:val="20"/>
        </w:rPr>
        <w:t>Honorários — Escopo Contencioso A</w:t>
      </w:r>
    </w:p>
    <w:p>
      <w:pPr>
        <w:jc w:val="both"/>
      </w:pPr>
      <w:r>
        <w:rPr>
          <w:rFonts w:ascii="Arvo" w:hAnsi="Arvo"/>
          <w:sz w:val="20"/>
        </w:rPr>
        <w:t>Os honorários serão apurados em valor mensal por processo, conforme natureza e fase, de acordo com a tabela abaixo:</w:t>
      </w:r>
    </w:p>
    <w:tbl>
      <w:tblPr>
        <w:tblW w:type="auto" w:w="0"/>
        <w:tblLook w:firstColumn="1" w:firstRow="1" w:lastColumn="0" w:lastRow="0" w:noHBand="0" w:noVBand="1" w:val="04A0"/>
        <w:tblBorders>
          <w:top w:val="single" w:sz="4" w:space="0" w:color="auto"/>
          <w:left w:val="single" w:sz="4" w:space="0" w:color="auto"/>
          <w:right w:val="single" w:sz="4" w:space="0" w:color="auto"/>
          <w:insideH w:val="single" w:sz="4" w:space="0" w:color="auto"/>
          <w:insideV w:val="single" w:sz="4" w:space="0" w:color="auto"/>
        </w:tblBorders>
      </w:tblPr>
      <w:tblGrid>
        <w:gridCol w:w="2880"/>
        <w:gridCol w:w="2880"/>
        <w:gridCol w:w="2880"/>
      </w:tblGrid>
      <w:tr>
        <w:tc>
          <w:tcPr>
            <w:tcW w:type="dxa" w:w="2880"/>
          </w:tcPr>
          <w:p>
            <w:pPr>
              <w:jc w:val="left"/>
            </w:pPr>
            <w:r/>
            <w:r>
              <w:rPr>
                <w:rFonts w:ascii="Arvo" w:hAnsi="Arvo"/>
                <w:b/>
                <w:sz w:val="20"/>
              </w:rPr>
              <w:t>Natureza da ação</w:t>
            </w:r>
          </w:p>
        </w:tc>
        <w:tc>
          <w:tcPr>
            <w:tcW w:type="dxa" w:w="2880"/>
          </w:tcPr>
          <w:p>
            <w:pPr>
              <w:jc w:val="left"/>
            </w:pPr>
            <w:r/>
            <w:r>
              <w:rPr>
                <w:rFonts w:ascii="Arvo" w:hAnsi="Arvo"/>
                <w:b/>
                <w:sz w:val="20"/>
              </w:rPr>
              <w:t>Instâncias de Atuação</w:t>
            </w:r>
          </w:p>
        </w:tc>
        <w:tc>
          <w:tcPr>
            <w:tcW w:type="dxa" w:w="2880"/>
          </w:tcPr>
          <w:p>
            <w:pPr>
              <w:jc w:val="left"/>
            </w:pPr>
            <w:r/>
            <w:r>
              <w:rPr>
                <w:rFonts w:ascii="Arvo" w:hAnsi="Arvo"/>
                <w:b/>
                <w:sz w:val="20"/>
              </w:rPr>
              <w:t>Valor</w:t>
            </w:r>
          </w:p>
        </w:tc>
      </w:tr>
      <w:tr>
        <w:tc>
          <w:tcPr>
            <w:tcW w:type="dxa" w:w="2880"/>
          </w:tcPr>
          <w:p>
            <w:pPr>
              <w:jc w:val="left"/>
            </w:pPr>
            <w:r/>
            <w:r>
              <w:rPr>
                <w:rFonts w:ascii="Arvo" w:hAnsi="Arvo"/>
                <w:sz w:val="20"/>
              </w:rPr>
              <w:t>Trabalhista</w:t>
            </w:r>
          </w:p>
        </w:tc>
        <w:tc>
          <w:tcPr>
            <w:tcW w:type="dxa" w:w="2880"/>
          </w:tcPr>
          <w:p>
            <w:pPr>
              <w:jc w:val="left"/>
            </w:pPr>
            <w:r/>
            <w:r>
              <w:rPr>
                <w:rFonts w:ascii="Arvo" w:hAnsi="Arvo"/>
                <w:sz w:val="20"/>
              </w:rPr>
              <w:t>Conhecimento</w:t>
            </w:r>
          </w:p>
        </w:tc>
        <w:tc>
          <w:tcPr>
            <w:tcW w:type="dxa" w:w="2880"/>
          </w:tcPr>
          <w:p>
            <w:pPr>
              <w:jc w:val="left"/>
            </w:pPr>
            <w:r/>
            <w:r>
              <w:rPr>
                <w:rFonts w:ascii="Arvo" w:hAnsi="Arvo"/>
                <w:sz w:val="20"/>
              </w:rPr>
              <w:t>R$ 5.500,00</w:t>
            </w:r>
          </w:p>
        </w:tc>
      </w:tr>
      <w:tr>
        <w:tc>
          <w:tcPr>
            <w:tcW w:type="dxa" w:w="2880"/>
          </w:tcPr>
          <w:p>
            <w:pPr>
              <w:jc w:val="left"/>
            </w:pPr>
            <w:r/>
            <w:r>
              <w:rPr>
                <w:rFonts w:ascii="Arvo" w:hAnsi="Arvo"/>
                <w:sz w:val="20"/>
              </w:rPr>
              <w:t>Trabalhista</w:t>
            </w:r>
          </w:p>
        </w:tc>
        <w:tc>
          <w:tcPr>
            <w:tcW w:type="dxa" w:w="2880"/>
          </w:tcPr>
          <w:p>
            <w:pPr>
              <w:jc w:val="left"/>
            </w:pPr>
            <w:r/>
            <w:r>
              <w:rPr>
                <w:rFonts w:ascii="Arvo" w:hAnsi="Arvo"/>
                <w:sz w:val="20"/>
              </w:rPr>
              <w:t>Execução</w:t>
            </w:r>
          </w:p>
        </w:tc>
        <w:tc>
          <w:tcPr>
            <w:tcW w:type="dxa" w:w="2880"/>
          </w:tcPr>
          <w:p>
            <w:pPr>
              <w:jc w:val="left"/>
            </w:pPr>
            <w:r/>
            <w:r>
              <w:rPr>
                <w:rFonts w:ascii="Arvo" w:hAnsi="Arvo"/>
                <w:sz w:val="20"/>
              </w:rPr>
              <w:t>R$ 3.800,00</w:t>
            </w:r>
          </w:p>
        </w:tc>
      </w:tr>
      <w:tr>
        <w:tc>
          <w:tcPr>
            <w:tcW w:type="dxa" w:w="2880"/>
          </w:tcPr>
          <w:p>
            <w:pPr>
              <w:jc w:val="left"/>
            </w:pPr>
            <w:r/>
            <w:r>
              <w:rPr>
                <w:rFonts w:ascii="Arvo" w:hAnsi="Arvo"/>
                <w:sz w:val="20"/>
              </w:rPr>
              <w:t>Cível</w:t>
            </w:r>
          </w:p>
        </w:tc>
        <w:tc>
          <w:tcPr>
            <w:tcW w:type="dxa" w:w="2880"/>
          </w:tcPr>
          <w:p>
            <w:pPr>
              <w:jc w:val="left"/>
            </w:pPr>
            <w:r/>
            <w:r>
              <w:rPr>
                <w:rFonts w:ascii="Arvo" w:hAnsi="Arvo"/>
                <w:sz w:val="20"/>
              </w:rPr>
              <w:t>Conhecimento</w:t>
            </w:r>
          </w:p>
        </w:tc>
        <w:tc>
          <w:tcPr>
            <w:tcW w:type="dxa" w:w="2880"/>
          </w:tcPr>
          <w:p>
            <w:pPr>
              <w:jc w:val="left"/>
            </w:pPr>
            <w:r/>
            <w:r>
              <w:rPr>
                <w:rFonts w:ascii="Arvo" w:hAnsi="Arvo"/>
                <w:sz w:val="20"/>
              </w:rPr>
              <w:t>R$ 7.200,00</w:t>
            </w:r>
          </w:p>
        </w:tc>
      </w:tr>
      <w:tr>
        <w:tc>
          <w:tcPr>
            <w:tcW w:type="dxa" w:w="2880"/>
          </w:tcPr>
          <w:p>
            <w:pPr>
              <w:jc w:val="left"/>
            </w:pPr>
            <w:r/>
            <w:r>
              <w:rPr>
                <w:rFonts w:ascii="Arvo" w:hAnsi="Arvo"/>
                <w:sz w:val="20"/>
              </w:rPr>
              <w:t>Tributária</w:t>
            </w:r>
          </w:p>
        </w:tc>
        <w:tc>
          <w:tcPr>
            <w:tcW w:type="dxa" w:w="2880"/>
          </w:tcPr>
          <w:p>
            <w:pPr>
              <w:jc w:val="left"/>
            </w:pPr>
            <w:r/>
            <w:r>
              <w:rPr>
                <w:rFonts w:ascii="Arvo" w:hAnsi="Arvo"/>
                <w:sz w:val="20"/>
              </w:rPr>
              <w:t>Conhecimento</w:t>
            </w:r>
          </w:p>
        </w:tc>
        <w:tc>
          <w:tcPr>
            <w:tcW w:type="dxa" w:w="2880"/>
          </w:tcPr>
          <w:p>
            <w:pPr>
              <w:jc w:val="left"/>
            </w:pPr>
            <w:r/>
            <w:r>
              <w:rPr>
                <w:rFonts w:ascii="Arvo" w:hAnsi="Arvo"/>
                <w:sz w:val="20"/>
              </w:rPr>
              <w:t>R$ 9.500,00</w:t>
            </w:r>
          </w:p>
        </w:tc>
      </w:tr>
    </w:tbl>
    <w:p>
      <w:r>
        <w:rPr>
          <w:rFonts w:ascii="Arvo" w:hAnsi="Arvo"/>
          <w:sz w:val="20"/>
        </w:rPr>
      </w:r>
    </w:p>
    <w:p>
      <w:r>
        <w:rPr>
          <w:rFonts w:ascii="Arvo" w:hAnsi="Arvo"/>
          <w:b/>
          <w:sz w:val="20"/>
        </w:rPr>
        <w:t>Honorários — Escopo Contencioso B</w:t>
      </w:r>
    </w:p>
    <w:p>
      <w:pPr>
        <w:jc w:val="both"/>
      </w:pPr>
      <w:r>
        <w:rPr>
          <w:rFonts w:ascii="Arvo" w:hAnsi="Arvo"/>
          <w:sz w:val="20"/>
        </w:rPr>
        <w:t>Os honorários serão apurados por ato processual efetivamente praticado, conforme tabela:</w:t>
      </w:r>
    </w:p>
    <w:tbl>
      <w:tblPr>
        <w:tblW w:type="auto" w:w="0"/>
        <w:tblLook w:firstColumn="1" w:firstRow="1" w:lastColumn="0" w:lastRow="0" w:noHBand="0" w:noVBand="1" w:val="04A0"/>
        <w:tblBorders>
          <w:top w:val="single" w:sz="4" w:space="0" w:color="auto"/>
          <w:left w:val="single" w:sz="4" w:space="0" w:color="auto"/>
          <w:right w:val="single" w:sz="4" w:space="0" w:color="auto"/>
          <w:insideH w:val="single" w:sz="4" w:space="0" w:color="auto"/>
          <w:insideV w:val="single" w:sz="4" w:space="0" w:color="auto"/>
        </w:tblBorders>
      </w:tblPr>
      <w:tblGrid>
        <w:gridCol w:w="2880"/>
        <w:gridCol w:w="2880"/>
        <w:gridCol w:w="2880"/>
      </w:tblGrid>
      <w:tr>
        <w:tc>
          <w:tcPr>
            <w:tcW w:type="dxa" w:w="2880"/>
          </w:tcPr>
          <w:p>
            <w:pPr>
              <w:jc w:val="left"/>
            </w:pPr>
            <w:r/>
            <w:r>
              <w:rPr>
                <w:rFonts w:ascii="Arvo" w:hAnsi="Arvo"/>
                <w:b/>
                <w:sz w:val="20"/>
              </w:rPr>
              <w:t>Ato processual</w:t>
            </w:r>
          </w:p>
        </w:tc>
        <w:tc>
          <w:tcPr>
            <w:tcW w:type="dxa" w:w="2880"/>
          </w:tcPr>
          <w:p>
            <w:pPr>
              <w:jc w:val="left"/>
            </w:pPr>
            <w:r/>
            <w:r>
              <w:rPr>
                <w:rFonts w:ascii="Arvo" w:hAnsi="Arvo"/>
                <w:b/>
                <w:sz w:val="20"/>
              </w:rPr>
              <w:t>Descrição</w:t>
            </w:r>
          </w:p>
        </w:tc>
        <w:tc>
          <w:tcPr>
            <w:tcW w:type="dxa" w:w="2880"/>
          </w:tcPr>
          <w:p>
            <w:pPr>
              <w:jc w:val="left"/>
            </w:pPr>
            <w:r/>
            <w:r>
              <w:rPr>
                <w:rFonts w:ascii="Arvo" w:hAnsi="Arvo"/>
                <w:b/>
                <w:sz w:val="20"/>
              </w:rPr>
              <w:t>Valor</w:t>
            </w:r>
          </w:p>
        </w:tc>
      </w:tr>
      <w:tr>
        <w:tc>
          <w:tcPr>
            <w:tcW w:type="dxa" w:w="2880"/>
          </w:tcPr>
          <w:p>
            <w:pPr>
              <w:jc w:val="left"/>
            </w:pPr>
            <w:r/>
            <w:r>
              <w:rPr>
                <w:rFonts w:ascii="Arvo" w:hAnsi="Arvo"/>
                <w:sz w:val="20"/>
              </w:rPr>
              <w:t>Petição Inicial</w:t>
            </w:r>
          </w:p>
        </w:tc>
        <w:tc>
          <w:tcPr>
            <w:tcW w:type="dxa" w:w="2880"/>
          </w:tcPr>
          <w:p>
            <w:pPr>
              <w:jc w:val="left"/>
            </w:pPr>
            <w:r/>
            <w:r>
              <w:rPr>
                <w:rFonts w:ascii="Arvo" w:hAnsi="Arvo"/>
                <w:sz w:val="20"/>
              </w:rPr>
              <w:t>Elaboração e protocolo da peça inaugural.</w:t>
            </w:r>
          </w:p>
        </w:tc>
        <w:tc>
          <w:tcPr>
            <w:tcW w:type="dxa" w:w="2880"/>
          </w:tcPr>
          <w:p>
            <w:pPr>
              <w:jc w:val="left"/>
            </w:pPr>
            <w:r/>
            <w:r>
              <w:rPr>
                <w:rFonts w:ascii="Arvo" w:hAnsi="Arvo"/>
                <w:sz w:val="20"/>
              </w:rPr>
              <w:t>R$ 2.500,00</w:t>
            </w:r>
          </w:p>
        </w:tc>
      </w:tr>
      <w:tr>
        <w:tc>
          <w:tcPr>
            <w:tcW w:type="dxa" w:w="2880"/>
          </w:tcPr>
          <w:p>
            <w:pPr>
              <w:jc w:val="left"/>
            </w:pPr>
            <w:r/>
            <w:r>
              <w:rPr>
                <w:rFonts w:ascii="Arvo" w:hAnsi="Arvo"/>
                <w:sz w:val="20"/>
              </w:rPr>
              <w:t>Contestação</w:t>
            </w:r>
          </w:p>
        </w:tc>
        <w:tc>
          <w:tcPr>
            <w:tcW w:type="dxa" w:w="2880"/>
          </w:tcPr>
          <w:p>
            <w:pPr>
              <w:jc w:val="left"/>
            </w:pPr>
            <w:r/>
            <w:r>
              <w:rPr>
                <w:rFonts w:ascii="Arvo" w:hAnsi="Arvo"/>
                <w:sz w:val="20"/>
              </w:rPr>
              <w:t>Elaboração e protocolo de defesa em processo judicial.</w:t>
            </w:r>
          </w:p>
        </w:tc>
        <w:tc>
          <w:tcPr>
            <w:tcW w:type="dxa" w:w="2880"/>
          </w:tcPr>
          <w:p>
            <w:pPr>
              <w:jc w:val="left"/>
            </w:pPr>
            <w:r/>
            <w:r>
              <w:rPr>
                <w:rFonts w:ascii="Arvo" w:hAnsi="Arvo"/>
                <w:sz w:val="20"/>
              </w:rPr>
              <w:t>R$ 2.200,00</w:t>
            </w:r>
          </w:p>
        </w:tc>
      </w:tr>
      <w:tr>
        <w:tc>
          <w:tcPr>
            <w:tcW w:type="dxa" w:w="2880"/>
          </w:tcPr>
          <w:p>
            <w:pPr>
              <w:jc w:val="left"/>
            </w:pPr>
            <w:r/>
            <w:r>
              <w:rPr>
                <w:rFonts w:ascii="Arvo" w:hAnsi="Arvo"/>
                <w:sz w:val="20"/>
              </w:rPr>
              <w:t>Recurso Ordinário</w:t>
            </w:r>
          </w:p>
        </w:tc>
        <w:tc>
          <w:tcPr>
            <w:tcW w:type="dxa" w:w="2880"/>
          </w:tcPr>
          <w:p>
            <w:pPr>
              <w:jc w:val="left"/>
            </w:pPr>
            <w:r/>
            <w:r>
              <w:rPr>
                <w:rFonts w:ascii="Arvo" w:hAnsi="Arvo"/>
                <w:sz w:val="20"/>
              </w:rPr>
              <w:t>Elaboração e protocolo de recurso ordinário na Justiça do Trabalho.</w:t>
            </w:r>
          </w:p>
        </w:tc>
        <w:tc>
          <w:tcPr>
            <w:tcW w:type="dxa" w:w="2880"/>
          </w:tcPr>
          <w:p>
            <w:pPr>
              <w:jc w:val="left"/>
            </w:pPr>
            <w:r/>
            <w:r>
              <w:rPr>
                <w:rFonts w:ascii="Arvo" w:hAnsi="Arvo"/>
                <w:sz w:val="20"/>
              </w:rPr>
              <w:t>R$ 3.000,00</w:t>
            </w:r>
          </w:p>
        </w:tc>
      </w:tr>
      <w:tr>
        <w:tc>
          <w:tcPr>
            <w:tcW w:type="dxa" w:w="2880"/>
          </w:tcPr>
          <w:p>
            <w:pPr>
              <w:jc w:val="left"/>
            </w:pPr>
            <w:r/>
            <w:r>
              <w:rPr>
                <w:rFonts w:ascii="Arvo" w:hAnsi="Arvo"/>
                <w:sz w:val="20"/>
              </w:rPr>
              <w:t>Agravo</w:t>
            </w:r>
          </w:p>
        </w:tc>
        <w:tc>
          <w:tcPr>
            <w:tcW w:type="dxa" w:w="2880"/>
          </w:tcPr>
          <w:p>
            <w:pPr>
              <w:jc w:val="left"/>
            </w:pPr>
            <w:r/>
            <w:r>
              <w:rPr>
                <w:rFonts w:ascii="Arvo" w:hAnsi="Arvo"/>
                <w:sz w:val="20"/>
              </w:rPr>
              <w:t>Elaboração e protocolo de agravo de instrumento ou agravo interno.</w:t>
            </w:r>
          </w:p>
        </w:tc>
        <w:tc>
          <w:tcPr>
            <w:tcW w:type="dxa" w:w="2880"/>
          </w:tcPr>
          <w:p>
            <w:pPr>
              <w:jc w:val="left"/>
            </w:pPr>
            <w:r/>
            <w:r>
              <w:rPr>
                <w:rFonts w:ascii="Arvo" w:hAnsi="Arvo"/>
                <w:sz w:val="20"/>
              </w:rPr>
              <w:t>R$ 1.800,00</w:t>
            </w:r>
          </w:p>
        </w:tc>
      </w:tr>
      <w:tr>
        <w:tc>
          <w:tcPr>
            <w:tcW w:type="dxa" w:w="2880"/>
          </w:tcPr>
          <w:p>
            <w:pPr>
              <w:jc w:val="left"/>
            </w:pPr>
            <w:r/>
            <w:r>
              <w:rPr>
                <w:rFonts w:ascii="Arvo" w:hAnsi="Arvo"/>
                <w:sz w:val="20"/>
              </w:rPr>
              <w:t>Apelação</w:t>
            </w:r>
          </w:p>
        </w:tc>
        <w:tc>
          <w:tcPr>
            <w:tcW w:type="dxa" w:w="2880"/>
          </w:tcPr>
          <w:p>
            <w:pPr>
              <w:jc w:val="left"/>
            </w:pPr>
            <w:r/>
            <w:r>
              <w:rPr>
                <w:rFonts w:ascii="Arvo" w:hAnsi="Arvo"/>
                <w:sz w:val="20"/>
              </w:rPr>
              <w:t>Elaboração e protocolo de apelação cível em 1º grau de jurisdição.</w:t>
            </w:r>
          </w:p>
        </w:tc>
        <w:tc>
          <w:tcPr>
            <w:tcW w:type="dxa" w:w="2880"/>
          </w:tcPr>
          <w:p>
            <w:pPr>
              <w:jc w:val="left"/>
            </w:pPr>
            <w:r/>
            <w:r>
              <w:rPr>
                <w:rFonts w:ascii="Arvo" w:hAnsi="Arvo"/>
                <w:sz w:val="20"/>
              </w:rPr>
              <w:t>R$ 3.500,00</w:t>
            </w:r>
          </w:p>
        </w:tc>
      </w:tr>
      <w:tr>
        <w:tc>
          <w:tcPr>
            <w:tcW w:type="dxa" w:w="2880"/>
          </w:tcPr>
          <w:p>
            <w:pPr>
              <w:jc w:val="left"/>
            </w:pPr>
            <w:r/>
            <w:r>
              <w:rPr>
                <w:rFonts w:ascii="Arvo" w:hAnsi="Arvo"/>
                <w:sz w:val="20"/>
              </w:rPr>
              <w:t>Recurso Especial / Extraordinário</w:t>
            </w:r>
          </w:p>
        </w:tc>
        <w:tc>
          <w:tcPr>
            <w:tcW w:type="dxa" w:w="2880"/>
          </w:tcPr>
          <w:p>
            <w:pPr>
              <w:jc w:val="left"/>
            </w:pPr>
            <w:r/>
            <w:r>
              <w:rPr>
                <w:rFonts w:ascii="Arvo" w:hAnsi="Arvo"/>
                <w:sz w:val="20"/>
              </w:rPr>
              <w:t>Elaboração e protocolo de recursos excepcionais ao STJ e STF, inclusive agravos correlatos.</w:t>
            </w:r>
          </w:p>
        </w:tc>
        <w:tc>
          <w:tcPr>
            <w:tcW w:type="dxa" w:w="2880"/>
          </w:tcPr>
          <w:p>
            <w:pPr>
              <w:jc w:val="left"/>
            </w:pPr>
            <w:r/>
            <w:r>
              <w:rPr>
                <w:rFonts w:ascii="Arvo" w:hAnsi="Arvo"/>
                <w:sz w:val="20"/>
              </w:rPr>
              <w:t>R$ 6.500,00</w:t>
            </w:r>
          </w:p>
        </w:tc>
      </w:tr>
      <w:tr>
        <w:tc>
          <w:tcPr>
            <w:tcW w:type="dxa" w:w="2880"/>
          </w:tcPr>
          <w:p>
            <w:pPr>
              <w:jc w:val="left"/>
            </w:pPr>
            <w:r/>
            <w:r>
              <w:rPr>
                <w:rFonts w:ascii="Arvo" w:hAnsi="Arvo"/>
                <w:sz w:val="20"/>
              </w:rPr>
              <w:t>Audiência</w:t>
            </w:r>
          </w:p>
        </w:tc>
        <w:tc>
          <w:tcPr>
            <w:tcW w:type="dxa" w:w="2880"/>
          </w:tcPr>
          <w:p>
            <w:pPr>
              <w:jc w:val="left"/>
            </w:pPr>
            <w:r/>
            <w:r>
              <w:rPr>
                <w:rFonts w:ascii="Arvo" w:hAnsi="Arvo"/>
                <w:sz w:val="20"/>
              </w:rPr>
              <w:t>Comparecimento, acompanhamento e atuação em audiência.</w:t>
            </w:r>
          </w:p>
        </w:tc>
        <w:tc>
          <w:tcPr>
            <w:tcW w:type="dxa" w:w="2880"/>
          </w:tcPr>
          <w:p>
            <w:pPr>
              <w:jc w:val="left"/>
            </w:pPr>
            <w:r/>
            <w:r>
              <w:rPr>
                <w:rFonts w:ascii="Arvo" w:hAnsi="Arvo"/>
                <w:sz w:val="20"/>
              </w:rPr>
              <w:t>R$ 1.500,00</w:t>
            </w:r>
          </w:p>
        </w:tc>
      </w:tr>
      <w:tr>
        <w:tc>
          <w:tcPr>
            <w:tcW w:type="dxa" w:w="2880"/>
          </w:tcPr>
          <w:p>
            <w:pPr>
              <w:jc w:val="left"/>
            </w:pPr>
            <w:r/>
            <w:r>
              <w:rPr>
                <w:rFonts w:ascii="Arvo" w:hAnsi="Arvo"/>
                <w:sz w:val="20"/>
              </w:rPr>
              <w:t>Diligência Externa</w:t>
            </w:r>
          </w:p>
        </w:tc>
        <w:tc>
          <w:tcPr>
            <w:tcW w:type="dxa" w:w="2880"/>
          </w:tcPr>
          <w:p>
            <w:pPr>
              <w:jc w:val="left"/>
            </w:pPr>
            <w:r/>
            <w:r>
              <w:rPr>
                <w:rFonts w:ascii="Arvo" w:hAnsi="Arvo"/>
                <w:sz w:val="20"/>
              </w:rPr>
              <w:t>Realização de diligência presencial em cartório, órgão público ou unidade do Contratante.</w:t>
            </w:r>
          </w:p>
        </w:tc>
        <w:tc>
          <w:tcPr>
            <w:tcW w:type="dxa" w:w="2880"/>
          </w:tcPr>
          <w:p>
            <w:pPr>
              <w:jc w:val="left"/>
            </w:pPr>
            <w:r/>
            <w:r>
              <w:rPr>
                <w:rFonts w:ascii="Arvo" w:hAnsi="Arvo"/>
                <w:sz w:val="20"/>
              </w:rPr>
              <w:t>R$ 850,00</w:t>
            </w:r>
          </w:p>
        </w:tc>
      </w:tr>
    </w:tbl>
    <w:p>
      <w:r>
        <w:rPr>
          <w:rFonts w:ascii="Arvo" w:hAnsi="Arvo"/>
          <w:sz w:val="20"/>
        </w:rPr>
      </w:r>
    </w:p>
    <w:p>
      <w:r>
        <w:rPr>
          <w:rFonts w:ascii="Arvo" w:hAnsi="Arvo"/>
          <w:b/>
          <w:sz w:val="20"/>
        </w:rPr>
        <w:t>Honorários — Escopo Contencioso C</w:t>
      </w:r>
    </w:p>
    <w:p>
      <w:pPr>
        <w:jc w:val="both"/>
      </w:pPr>
      <w:r>
        <w:rPr>
          <w:rFonts w:ascii="Arvo" w:hAnsi="Arvo"/>
          <w:sz w:val="20"/>
        </w:rPr>
        <w:t>Preço global para a condução integral do escopo delimitado: R$ 85.000,00.</w:t>
      </w:r>
    </w:p>
    <w:p>
      <w:pPr>
        <w:jc w:val="both"/>
      </w:pPr>
      <w:r>
        <w:rPr>
          <w:rFonts w:ascii="Arvo" w:hAnsi="Arvo"/>
          <w:sz w:val="20"/>
        </w:rPr>
        <w:t>Ações e fases cobertas: Conhecimento e Execução em primeira e segunda instâncias (TRT/TRF), incluindo embargos de declaração e demais incidentes.</w:t>
      </w:r>
    </w:p>
    <w:p>
      <w:pPr>
        <w:jc w:val="both"/>
      </w:pPr>
      <w:r>
        <w:rPr>
          <w:rFonts w:ascii="Arvo" w:hAnsi="Arvo"/>
          <w:sz w:val="20"/>
        </w:rPr>
        <w:t>Forma de pagamento: 40% no ato da assinatura da proposta; 30% após sentença de primeiro grau; 30% após trânsito em julgado.</w:t>
      </w:r>
    </w:p>
    <w:p>
      <w:r>
        <w:rPr>
          <w:rFonts w:ascii="Arvo" w:hAnsi="Arvo"/>
          <w:sz w:val="20"/>
        </w:rPr>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Deslocamento em veículo próprio: R$ 2,50 por km e estacionamento, táxi, transporte por aplicativo, hospedagem e alimentação.</w:t>
            </w:r>
          </w:p>
        </w:tc>
      </w:tr>
      <w:tr w:rsidR="00946CCF" w:rsidRPr="00AC667A" w14:paraId="000000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C"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1D"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Custas e emolumentos judiciais e administrativos, depósitos recursais, diligências externas simples (R$ 150,00 por diligência), serviços de correspondentes e demais despesas correlatas.</w:t>
            </w:r>
          </w:p>
        </w:tc>
      </w:tr>
      <w:tr w:rsidR="00946CCF" w:rsidRPr="00AC667A" w14:paraId="0000001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F"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Periciais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20"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Honorários periciais e custos de assistente técnico, suportados conforme determinação judicial e prévia ciência ao Contratante.</w:t>
            </w: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 xml:space="preserve">R$ 75,00 por processo/mês</w:t>
            </w: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 xml:space="preserve">1. Cláusula de não solicitação de colaboradores: as Partes se comprometem a não contratar ou solicitar serviços de colaboradores da outra Parte durante a vigência deste contrato e pelo período de 12 (doze) meses após seu término.</w:t>
        <w:br/>
        <w:t xml:space="preserve"/>
        <w:br/>
        <w:t xml:space="preserve">2. Confidencialidade reforçada: aplicar-se-á NDA específico para informações classificadas como estratégicas pelo Contratante, com prazo de confidencialidade de 5 (cinco) anos.</w:t>
        <w:br/>
        <w:t xml:space="preserve"/>
        <w:br/>
        <w:t xml:space="preserve">3. Reajuste anual: os honorários previstos nesta proposta serão reajustados anualmente pelo IPCA-IBGE acumulado nos 12 meses anteriores, aplicado na data-base da assinatura.</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noProof/>
            <w:sz w:val="20"/>
            <w:szCs w:val="20"/>
          </w:rPr>
          <w:t>8</w:t>
        </w:r>
        <w:r>
          <w:rPr>
            <w:rStyle w:val="Nmerodepgina"/>
            <w:sz w:val="20"/>
            <w:szCs w:val="20"/>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sz w:val="20"/>
        <w:szCs w:val="2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