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 xml:space="preserve"/>
      </w:r>
      <w:r>
        <w:rPr>
          <w:sz w:val="20"/>
          <w:szCs w:val="20"/>
          <w:b/>
          <w:rFonts w:ascii="Arvo" w:hAnsi="Arvo" w:cs="Arvo"/>
        </w:rPr>
        <w:t xml:space="preserve">EMPRESA DEMO MULTI-ESCOPO LTDA.</w:t>
      </w:r>
      <w:r>
        <w:t xml:space="preserve"/>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xml:space="preserve"/>
      </w:r>
      <w:r>
        <w:rPr>
          <w:rFonts w:ascii="Arvo" w:hAnsi="Arvo"/>
          <w:sz w:val="20"/>
          <w:szCs w:val="20"/>
        </w:rPr>
        <w:t>CNPJ</w:t>
      </w:r>
      <w:r w:rsidRPr="00AC667A">
        <w:rPr>
          <w:rFonts w:ascii="Arvo" w:hAnsi="Arvo"/>
          <w:sz w:val="20"/>
          <w:szCs w:val="20"/>
        </w:rPr>
        <w:t xml:space="preserve"/>
      </w:r>
      <w:r>
        <w:rPr>
          <w:rFonts w:ascii="Arvo" w:hAnsi="Arvo"/>
          <w:sz w:val="20"/>
          <w:szCs w:val="20"/>
        </w:rPr>
        <w:t xml:space="preserve">: </w:t>
      </w:r>
      <w:r w:rsidR="004842D6" w:rsidRPr="00AC667A">
        <w:rPr>
          <w:rFonts w:ascii="Arvo" w:hAnsi="Arvo"/>
          <w:sz w:val="20"/>
          <w:szCs w:val="20"/>
        </w:rPr>
        <w:t xml:space="preserve">12.345.678/0001-90</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Avenida Paulista, 1578, Bela Vista, 01310-200, São Paulo/SP</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A/C: Dra. Maria Helena Carvalho</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Telefone: (11) 98765-4321; E-mail: maria.carvalho@empresademo.com.br</w:t>
        <w:br/>
        <w:t xml:space="preserve">Telefone: (11) 3456-7890; E-mail: juridico@empresademo.com.br</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A:</w:t>
      </w:r>
    </w:p>
    <w:p w14:paraId="18300569" w14:textId="77777777" w:rsidR="004842D6" w:rsidRPr="00AC667A" w:rsidRDefault="004842D6" w:rsidP="00AC667A">
      <w:pPr>
        <w:spacing w:line="276" w:lineRule="auto"/>
        <w:rPr>
          <w:rFonts w:ascii="Arvo" w:hAnsi="Arvo"/>
          <w:sz w:val="20"/>
          <w:szCs w:val="20"/>
        </w:rPr>
      </w:pPr>
    </w:p>
    <w:p w14:paraId="00000001"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Consultoria societária permanente: revisão e elaboração de atos societários (atas, alterações contratuais, acordos de sócios), pareceres em operações de M, due diligence jurídica, governança corporativa e compliance societário.</w:t>
      </w:r>
    </w:p>
    <w:p w14:paraId="00000002" w14:textId="77777777" w:rsidR="004842D6" w:rsidRPr="00AC667A" w:rsidRDefault="004842D6" w:rsidP="00AC667A">
      <w:pPr>
        <w:spacing w:line="276" w:lineRule="auto"/>
        <w:rPr>
          <w:rFonts w:ascii="Arvo" w:hAnsi="Arvo"/>
          <w:sz w:val="20"/>
          <w:szCs w:val="20"/>
        </w:rPr>
      </w:pPr>
    </w:p>
    <w:p w14:paraId="00000003"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B:</w:t>
      </w:r>
    </w:p>
    <w:p w14:paraId="00000004" w14:textId="77777777" w:rsidR="004842D6" w:rsidRPr="00AC667A" w:rsidRDefault="004842D6" w:rsidP="00AC667A">
      <w:pPr>
        <w:spacing w:line="276" w:lineRule="auto"/>
        <w:rPr>
          <w:rFonts w:ascii="Arvo" w:hAnsi="Arvo"/>
          <w:sz w:val="20"/>
          <w:szCs w:val="20"/>
        </w:rPr>
      </w:pPr>
    </w:p>
    <w:p w14:paraId="00000005"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Consultoria contratual: revisão, elaboração e negociação de contratos comerciais (prestação de serviços, fornecimento, distribuição, franquia, licenciamento), termos de uso, políticas de privacidade e adequação à LGPD.</w:t>
      </w:r>
    </w:p>
    <w:p w14:paraId="00000006" w14:textId="77777777" w:rsidR="004842D6" w:rsidRPr="00AC667A" w:rsidRDefault="004842D6" w:rsidP="00AC667A">
      <w:pPr>
        <w:spacing w:line="276" w:lineRule="auto"/>
        <w:rPr>
          <w:rFonts w:ascii="Arvo" w:hAnsi="Arvo"/>
          <w:sz w:val="20"/>
          <w:szCs w:val="20"/>
        </w:rPr>
      </w:pPr>
    </w:p>
    <w:p w14:paraId="00000007"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C:</w:t>
      </w:r>
    </w:p>
    <w:p w14:paraId="00000008" w14:textId="77777777" w:rsidR="004842D6" w:rsidRPr="00AC667A" w:rsidRDefault="004842D6" w:rsidP="00AC667A">
      <w:pPr>
        <w:spacing w:line="276" w:lineRule="auto"/>
        <w:rPr>
          <w:rFonts w:ascii="Arvo" w:hAnsi="Arvo"/>
          <w:sz w:val="20"/>
          <w:szCs w:val="20"/>
        </w:rPr>
      </w:pPr>
    </w:p>
    <w:p w14:paraId="0000000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Consultoria trabalhista e regulatória: orientações em rotinas de RH, elaboração de políticas internas, programas de integridade, treinamentos in company, pareceres regulatórios (ANATEL, ANEEL, CVM) e acompanhamento de obrigações acessórias.</w:t>
      </w:r>
    </w:p>
    <w:p w14:paraId="0000000A" w14:textId="77777777" w:rsidR="004842D6" w:rsidRPr="00AC667A" w:rsidRDefault="004842D6" w:rsidP="00AC667A">
      <w:pPr>
        <w:spacing w:line="276" w:lineRule="auto"/>
        <w:rPr>
          <w:rFonts w:ascii="Arvo" w:hAnsi="Arvo"/>
          <w:sz w:val="20"/>
          <w:szCs w:val="20"/>
        </w:rPr>
      </w:pPr>
    </w:p>
    <w:p w14:paraId="7E35DB25" w14:textId="77777777" w:rsidR="004842D6" w:rsidRPr="00AC667A" w:rsidRDefault="004842D6" w:rsidP="00AC667A">
      <w:pPr>
        <w:keepNext/>
        <w:snapToGrid w:val="0"/>
        <w:spacing w:line="276" w:lineRule="auto"/>
        <w:rPr>
          <w:rFonts w:ascii="Arvo" w:hAnsi="Arvo"/>
          <w:b/>
          <w:bCs/>
          <w:sz w:val="20"/>
          <w:szCs w:val="20"/>
        </w:rPr>
      </w:pPr>
      <w:r w:rsidRPr="00AC667A">
        <w:rPr>
          <w:rFonts w:ascii="Arvo" w:hAnsi="Arvo"/>
          <w:b/>
          <w:bCs/>
          <w:sz w:val="20"/>
          <w:szCs w:val="20"/>
        </w:rPr>
        <w:t xml:space="preserve">Prazos de Entrega/SLA: </w:t>
      </w:r>
    </w:p>
    <w:p w14:paraId="73251579"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 xml:space="preserve">Demandas de baixa complexidade: até 3 dias úteis;</w:t>
        <w:br/>
        <w:t xml:space="preserve">Demandas de média complexidade: até 5 dias úteis;</w:t>
        <w:br/>
        <w:t xml:space="preserve">Demandas de alta complexidade (ou em língua estrangeira): entre 5 e 10 dias úteis.</w:t>
        <w:br/>
        <w:t xml:space="preserve">Projetos de altíssima complexidade ou alto volume: prazo a definir em conjunto com o Contratante.</w:t>
        <w:br/>
        <w:t xml:space="preserve">Solicitações de urgência fora do SLA acima poderão ser atendidas mediante alinhamento entre as Partes e disponibilidade.</w:t>
      </w:r>
    </w:p>
    <w:p w14:paraId="03C2BF0C" w14:textId="77777777" w:rsidR="004842D6" w:rsidRPr="00AC667A" w:rsidRDefault="004842D6" w:rsidP="00AC667A">
      <w:pPr>
        <w:snapToGrid w:val="0"/>
        <w:spacing w:line="276" w:lineRule="auto"/>
        <w:rPr>
          <w:rFonts w:ascii="Arvo" w:hAnsi="Arvo"/>
          <w:sz w:val="20"/>
          <w:szCs w:val="20"/>
        </w:rPr>
      </w:pP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A:</w:t>
      </w:r>
    </w:p>
    <w:p w14:paraId="256F7D4F" w14:textId="77777777" w:rsidR="004842D6" w:rsidRPr="00AC667A" w:rsidRDefault="004842D6" w:rsidP="00AC667A">
      <w:pPr>
        <w:spacing w:line="276" w:lineRule="auto"/>
        <w:rPr>
          <w:rFonts w:ascii="Arvo" w:hAnsi="Arvo"/>
          <w:sz w:val="20"/>
          <w:szCs w:val="20"/>
        </w:rPr>
      </w:pPr>
    </w:p>
    <w:p w14:paraId="0000000B"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Contencioso trabalhista de massa: defesa em reclamações trabalhistas em primeira e segunda instâncias, fase de conhecimento e execução, em todos os TRTs do território nacional, incluindo audiências e recursos.</w:t>
      </w:r>
    </w:p>
    <w:p w14:paraId="0000000C" w14:textId="77777777" w:rsidR="004842D6" w:rsidRPr="00AC667A" w:rsidRDefault="004842D6" w:rsidP="00AC667A">
      <w:pPr>
        <w:spacing w:line="276" w:lineRule="auto"/>
        <w:rPr>
          <w:rFonts w:ascii="Arvo" w:hAnsi="Arvo"/>
          <w:sz w:val="20"/>
          <w:szCs w:val="20"/>
        </w:rPr>
      </w:pPr>
    </w:p>
    <w:p w14:paraId="0000000D"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B:</w:t>
      </w:r>
    </w:p>
    <w:p w14:paraId="0000000E" w14:textId="77777777" w:rsidR="004842D6" w:rsidRPr="00AC667A" w:rsidRDefault="004842D6" w:rsidP="00AC667A">
      <w:pPr>
        <w:spacing w:line="276" w:lineRule="auto"/>
        <w:rPr>
          <w:rFonts w:ascii="Arvo" w:hAnsi="Arvo"/>
          <w:sz w:val="20"/>
          <w:szCs w:val="20"/>
        </w:rPr>
      </w:pPr>
    </w:p>
    <w:p w14:paraId="0000000F"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Contencioso cível estratégico: defesa em ações cíveis de alta complexidade — ações de cobrança, indenizatórias, ações coletivas — perante juízos cíveis estaduais e federais, com atuação por ato processual.</w:t>
      </w:r>
    </w:p>
    <w:p w14:paraId="00000010" w14:textId="77777777" w:rsidR="004842D6" w:rsidRPr="00AC667A" w:rsidRDefault="004842D6" w:rsidP="00AC667A">
      <w:pPr>
        <w:spacing w:line="276" w:lineRule="auto"/>
        <w:rPr>
          <w:rFonts w:ascii="Arvo" w:hAnsi="Arvo"/>
          <w:sz w:val="20"/>
          <w:szCs w:val="20"/>
        </w:rPr>
      </w:pPr>
    </w:p>
    <w:p w14:paraId="00000011"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C:</w:t>
      </w:r>
    </w:p>
    <w:p w14:paraId="00000012" w14:textId="77777777" w:rsidR="004842D6" w:rsidRPr="00AC667A" w:rsidRDefault="004842D6" w:rsidP="00AC667A">
      <w:pPr>
        <w:spacing w:line="276" w:lineRule="auto"/>
        <w:rPr>
          <w:rFonts w:ascii="Arvo" w:hAnsi="Arvo"/>
          <w:sz w:val="20"/>
          <w:szCs w:val="20"/>
        </w:rPr>
      </w:pPr>
    </w:p>
    <w:p w14:paraId="00000013"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Litígio tributário projeto-único: condução integral de mandado de segurança e subsequente ação ordinária visando recuperação de créditos de PIS/COFINS sobre ICMS, com acompanhamento em todas as instâncias até o STF.</w:t>
      </w:r>
    </w:p>
    <w:p w14:paraId="00000014" w14:textId="77777777" w:rsidR="004842D6" w:rsidRPr="00AC667A" w:rsidRDefault="004842D6" w:rsidP="00AC667A">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Consultivo A</w:t>
      </w:r>
    </w:p>
    <w:p>
      <w:pPr>
        <w:spacing w:line="276" w:lineRule="auto"/>
        <w:rPr>
          <w:rFonts w:ascii="Arvo" w:hAnsi="Arvo"/>
          <w:sz w:val="20"/>
          <w:szCs w:val="20"/>
        </w:rPr>
      </w:pPr>
    </w:p>
    <w:p>
      <w:pPr>
        <w:spacing w:line="276" w:lineRule="auto"/>
        <w:jc w:val="both"/>
        <w:rPr>
          <w:rFonts w:ascii="Arvo" w:hAnsi="Arvo"/>
          <w:sz w:val="20"/>
          <w:szCs w:val="20"/>
        </w:rPr>
      </w:pPr>
      <w:r>
        <w:rPr>
          <w:rFonts w:ascii="Arvo" w:hAnsi="Arvo"/>
          <w:sz w:val="20"/>
          <w:szCs w:val="20"/>
        </w:rPr>
        <w:t xml:space="preserve">Os honorários serão apurados conforme a tabela de senioridade abaixo, com base em relatório mensal de horas executadas.</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tc>
          <w:tcPr>
            <w:tcW w:w="3208"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Categoria</w:t>
            </w:r>
          </w:p>
        </w:tc>
        <w:tc>
          <w:tcPr>
            <w:tcW w:w="6426"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Valor por Hora (R$)</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Sócio</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R$ 1.200,00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Associado Sênior</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R$ 950,00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Associado Pleno</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R$ 750,00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Associado Júnior</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R$ 500,00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Estagiário/Paralegal</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R$ 280,00</w:t>
            </w:r>
          </w:p>
        </w:tc>
      </w:tr>
    </w:tbl>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Consultivo B</w:t>
      </w:r>
    </w:p>
    <w:p>
      <w:pPr>
        <w:spacing w:line="276" w:lineRule="auto"/>
        <w:rPr>
          <w:rFonts w:ascii="Arvo" w:hAnsi="Arvo"/>
          <w:sz w:val="20"/>
          <w:szCs w:val="20"/>
        </w:rPr>
      </w:pPr>
    </w:p>
    <w:p>
      <w:pPr>
        <w:spacing w:line="276" w:lineRule="auto"/>
        <w:jc w:val="both"/>
        <w:rPr>
          <w:rFonts w:ascii="Arvo" w:hAnsi="Arvo"/>
          <w:sz w:val="20"/>
          <w:szCs w:val="20"/>
        </w:rPr>
      </w:pPr>
      <w:r>
        <w:rPr>
          <w:rFonts w:ascii="Arvo" w:hAnsi="Arvo"/>
          <w:sz w:val="20"/>
          <w:szCs w:val="20"/>
        </w:rPr>
        <w:t xml:space="preserve">Os honorários serão apurados com base em valor horário único, aplicável indistintamente a qualquer profissional alocado na prestação dos serviços consultivos, ao valor de R$ 700,00 por hora.</w:t>
      </w:r>
    </w:p>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Consultivo C</w:t>
      </w:r>
    </w:p>
    <w:p>
      <w:pPr>
        <w:spacing w:line="276" w:lineRule="auto"/>
        <w:rPr>
          <w:rFonts w:ascii="Arvo" w:hAnsi="Arvo"/>
          <w:sz w:val="20"/>
          <w:szCs w:val="20"/>
        </w:rPr>
      </w:pPr>
    </w:p>
    <w:p>
      <w:pPr>
        <w:spacing w:line="276" w:lineRule="auto"/>
        <w:jc w:val="both"/>
        <w:rPr>
          <w:rFonts w:ascii="Arvo" w:hAnsi="Arvo"/>
          <w:sz w:val="20"/>
          <w:szCs w:val="20"/>
        </w:rPr>
      </w:pPr>
      <w:r>
        <w:rPr>
          <w:rFonts w:ascii="Arvo" w:hAnsi="Arvo"/>
          <w:sz w:val="20"/>
          <w:szCs w:val="20"/>
        </w:rPr>
        <w:t xml:space="preserve">Os honorários serão fixados em valor mensal pré-estabelecido, abrangendo um cap de horas inclusas. Horas excedentes ao cap serão cobradas separadamente.</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0" w:lastRow="0" w:firstColumn="1" w:lastColumn="0" w:noHBand="0" w:noVBand="1"/>
      </w:tblPr>
      <w:tblGrid>
        <w:gridCol w:w="3256"/>
        <w:gridCol w:w="6378"/>
      </w:tblGrid>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R$ 18.500,00</w:t>
            </w:r>
          </w:p>
        </w:tc>
      </w:tr>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35 horas horas</w:t>
            </w:r>
          </w:p>
        </w:tc>
      </w:tr>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R$ 650,00</w:t>
            </w:r>
          </w:p>
        </w:tc>
      </w:tr>
    </w:tbl>
    <w:p>
      <w:pPr>
        <w:spacing w:line="276" w:lineRule="auto"/>
        <w:rPr>
          <w:rFonts w:ascii="Arvo" w:hAnsi="Arvo"/>
          <w:sz w:val="20"/>
          <w:szCs w:val="20"/>
        </w:rPr>
      </w:pP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 xml:space="preserve">15%</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R$ 1.200,00</w:t>
            </w:r>
          </w:p>
        </w:tc>
      </w:tr>
      <w:tr w:rsidR="00D55EBC" w:rsidRPr="00AC667A" w14:paraId="00000015"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6"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7"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R$ 950,00</w:t>
            </w:r>
          </w:p>
        </w:tc>
      </w:tr>
      <w:tr w:rsidR="00D55EBC" w:rsidRPr="00AC667A" w14:paraId="0000001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9"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A"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R$ 750,00</w:t>
            </w:r>
          </w:p>
        </w:tc>
      </w:tr>
      <w:tr w:rsidR="00D55EBC" w:rsidRPr="00AC667A" w14:paraId="0000001B"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C"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R$ 500,00</w:t>
            </w:r>
          </w:p>
        </w:tc>
      </w:tr>
      <w:tr w:rsidR="00D55EBC" w:rsidRPr="00AC667A" w14:paraId="0000001E"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F"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20"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R$ 280,00</w:t>
            </w:r>
          </w:p>
        </w:tc>
      </w:tr>
    </w:tbl>
    <w:p w14:paraId="52B3FC8B" w14:textId="77777777" w:rsidR="00D55EBC" w:rsidRPr="00AC667A" w:rsidRDefault="00D55EBC" w:rsidP="00AC667A">
      <w:pPr>
        <w:snapToGrid w:val="0"/>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Contencioso A</w:t>
      </w:r>
    </w:p>
    <w:p>
      <w:pPr>
        <w:spacing w:line="276" w:lineRule="auto"/>
        <w:rPr>
          <w:rFonts w:ascii="Arvo" w:hAnsi="Arvo"/>
          <w:sz w:val="20"/>
          <w:szCs w:val="20"/>
        </w:rPr>
      </w:pPr>
    </w:p>
    <w:p>
      <w:pPr>
        <w:spacing w:line="276" w:lineRule="auto"/>
        <w:jc w:val="both"/>
        <w:rPr>
          <w:rFonts w:ascii="Arvo" w:hAnsi="Arvo"/>
          <w:sz w:val="20"/>
          <w:szCs w:val="20"/>
        </w:rPr>
      </w:pPr>
      <w:r>
        <w:rPr>
          <w:rFonts w:ascii="Arvo" w:hAnsi="Arvo"/>
          <w:sz w:val="20"/>
          <w:szCs w:val="20"/>
        </w:rPr>
        <w:t xml:space="preserve">Os honorários serão apurados conforme valor mensal por processo em curso, conforme a natureza da ação e fase processual coberta pela atuação, nos termos abaixo.</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400"/>
        <w:gridCol w:w="2834"/>
      </w:tblGrid>
      <w:tr>
        <w:tc>
          <w:tcPr>
            <w:tcW w:w="34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Natureza da Ação</w:t>
            </w:r>
          </w:p>
        </w:tc>
        <w:tc>
          <w:tcPr>
            <w:tcW w:w="34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Instâncias de Atuação</w:t>
            </w:r>
          </w:p>
        </w:tc>
        <w:tc>
          <w:tcPr>
            <w:tcW w:w="2834"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Valor por Ação (R$)</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Trabalhista</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Conhecimento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R$ 5.500,00</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Trabalhista</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Execução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R$ 3.800,00</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Cível</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Conhecimento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R$ 7.200,00</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Tributária</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Conhecimento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R$ 9.500,00</w:t>
            </w:r>
          </w:p>
        </w:tc>
      </w:tr>
    </w:tbl>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Contencioso B</w:t>
      </w:r>
    </w:p>
    <w:p>
      <w:pPr>
        <w:spacing w:line="276" w:lineRule="auto"/>
        <w:rPr>
          <w:rFonts w:ascii="Arvo" w:hAnsi="Arvo"/>
          <w:sz w:val="20"/>
          <w:szCs w:val="20"/>
        </w:rPr>
      </w:pPr>
    </w:p>
    <w:p>
      <w:pPr>
        <w:spacing w:line="276" w:lineRule="auto"/>
        <w:jc w:val="both"/>
        <w:rPr>
          <w:rFonts w:ascii="Arvo" w:hAnsi="Arvo"/>
          <w:sz w:val="20"/>
          <w:szCs w:val="20"/>
        </w:rPr>
      </w:pPr>
      <w:r>
        <w:rPr>
          <w:rFonts w:ascii="Arvo" w:hAnsi="Arvo"/>
          <w:sz w:val="20"/>
          <w:szCs w:val="20"/>
        </w:rPr>
        <w:t xml:space="preserve">Os honorários serão apurados por ato processual efetivamente praticado pelo Contratado, conforme os valores abaixo.</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334"/>
        <w:gridCol w:w="2500"/>
      </w:tblGrid>
      <w:tr>
        <w:tc>
          <w:tcPr>
            <w:tcW w:w="28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Ato Processual</w:t>
            </w:r>
          </w:p>
        </w:tc>
        <w:tc>
          <w:tcPr>
            <w:tcW w:w="4334"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Descrição</w:t>
            </w:r>
          </w:p>
        </w:tc>
        <w:tc>
          <w:tcPr>
            <w:tcW w:w="25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Valor (R$)</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Petição Inicial</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da peça inaugural.</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R$ 2.500,00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Contestação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defesa em processo judicial.</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R$ 2.200,00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Recurso Ordinário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recurso ordinário na Justiça do Trabalho.</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R$ 3.000,00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Agravo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agravo de instrumento ou agravo interno.</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R$ 1.800,00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Apelação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apelação cível em 1º grau de jurisdição.</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R$ 3.500,00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Recurso Especial / Extraordinário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recursos excepcionais ao STJ e STF, inclusive agravos correlatos.</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R$ 6.500,00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Audiência</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Comparecimento, acompanhamento e atuação em audiência.</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R$ 1.500,00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Diligência Externa</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Realização de diligência presencial em cartório, órgão público ou unidade do Contratante.</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R$ 850,00</w:t>
            </w:r>
          </w:p>
        </w:tc>
      </w:tr>
    </w:tbl>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Contencioso C</w:t>
      </w:r>
    </w:p>
    <w:p>
      <w:pPr>
        <w:spacing w:line="276" w:lineRule="auto"/>
        <w:rPr>
          <w:rFonts w:ascii="Arvo" w:hAnsi="Arvo"/>
          <w:sz w:val="20"/>
          <w:szCs w:val="20"/>
        </w:rPr>
      </w:pPr>
    </w:p>
    <w:p>
      <w:pPr>
        <w:spacing w:line="276" w:lineRule="auto"/>
        <w:jc w:val="both"/>
        <w:rPr>
          <w:rFonts w:ascii="Arvo" w:hAnsi="Arvo"/>
          <w:sz w:val="20"/>
          <w:szCs w:val="20"/>
        </w:rPr>
      </w:pPr>
      <w:r>
        <w:rPr>
          <w:rFonts w:ascii="Arvo" w:hAnsi="Arvo"/>
          <w:sz w:val="20"/>
          <w:szCs w:val="20"/>
        </w:rPr>
        <w:t xml:space="preserve">Os honorários serão fixados em valor global fechado para a condução integral do escopo delimitado, distribuído conforme o cronograma de pagamento abaixo.</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0" w:lastRow="0" w:firstColumn="1" w:lastColumn="0" w:noHBand="0" w:noVBand="1"/>
      </w:tblPr>
      <w:tblGrid>
        <w:gridCol w:w="3256"/>
        <w:gridCol w:w="6378"/>
      </w:tblGrid>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R$ 85.000,00</w:t>
            </w:r>
          </w:p>
        </w:tc>
      </w:tr>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Conhecimento e Execução em primeira e segunda instâncias (TRT/TRF), incluindo embargos de declaração e demais incidentes.</w:t>
            </w:r>
          </w:p>
        </w:tc>
      </w:tr>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Cronograma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40% no ato da assinatura da proposta; 30% após sentença de primeiro grau; 30% após trânsito em julgado.</w:t>
            </w:r>
          </w:p>
        </w:tc>
      </w:tr>
    </w:tbl>
    <w:p>
      <w:pPr>
        <w:spacing w:line="276" w:lineRule="auto"/>
        <w:rPr>
          <w:rFonts w:ascii="Arvo" w:hAnsi="Arvo"/>
          <w:sz w:val="20"/>
          <w:szCs w:val="20"/>
        </w:rPr>
      </w:pP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Logísticas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Deslocamento em veículo próprio: R$ 2,50 por km e estacionamento, táxi, transporte por aplicativo, hospedagem e alimentação.</w:t>
            </w:r>
          </w:p>
        </w:tc>
      </w:tr>
      <w:tr w:rsidR="00946CCF" w:rsidRPr="00AC667A" w14:paraId="00000021"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22"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Gerais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23"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Custas e emolumentos judiciais e administrativos, depósitos recursais, diligências externas simples (R$ 150,00 por diligência), serviços de correspondentes e demais despesas correlatas.</w:t>
            </w:r>
          </w:p>
        </w:tc>
      </w:tr>
      <w:tr w:rsidR="00946CCF" w:rsidRPr="00AC667A" w14:paraId="00000024"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2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Periciais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26"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Honorários periciais e custos de assistente técnico, suportados conforme determinação judicial e prévia ciência ao Contratante.</w:t>
            </w: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 xml:space="preserve">R$ 75,00 por processo/mês</w:t>
            </w: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 xml:space="preserve">1. Cláusula de não solicitação de colaboradores: as Partes se comprometem a não contratar ou solicitar serviços de colaboradores da outra Parte durante a vigência deste contrato e pelo período de 12 (doze) meses após seu término.</w:t>
        <w:br/>
        <w:t xml:space="preserve"/>
        <w:br/>
        <w:t xml:space="preserve">2. Confidencialidade reforçada: aplicar-se-á NDA específico para informações classificadas como estratégicas pelo Contratante, com prazo de confidencialidade de 5 (cinco) anos.</w:t>
        <w:br/>
        <w:t xml:space="preserve"/>
        <w:br/>
        <w:t xml:space="preserve">3. Reajuste anual: os honorários previstos nesta proposta serão reajustados anualmente pelo IPCA-IBGE acumulado nos 12 meses anteriores, aplicado na data-base da assinatura.</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 xml:space="preserve"/>
            </w:r>
            <w:r>
              <w:rPr>
                <w:sz w:val="20"/>
                <w:szCs w:val="20"/>
                <w:b/>
                <w:rFonts w:ascii="Arvo" w:hAnsi="Arvo" w:cs="Arvo"/>
              </w:rPr>
              <w:t xml:space="preserve">EMPRESA DEMO MULTI-ESCOPO LTDA.</w:t>
            </w:r>
            <w:r>
              <w:t xml:space="preserve"/>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noProof/>
            <w:sz w:val="20"/>
            <w:szCs w:val="20"/>
          </w:rPr>
          <w:t>8</w:t>
        </w:r>
        <w:r>
          <w:rPr>
            <w:rStyle w:val="Nmerodepgina"/>
            <w:sz w:val="20"/>
            <w:szCs w:val="20"/>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sz w:val="20"/>
        <w:szCs w:val="2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