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Prazos de Entrega</w:t>
      </w:r>
      <w:r w:rsidRPr="004842D6">
        <w:rPr>
          <w:b/>
          <w:bCs/>
          <w:sz w:val="20"/>
          <w:szCs w:val="20"/>
        </w:rPr>
        <w:t xml:space="preserve">/SLA: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{{consultiva.fixo_mensal_cap}}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w:t>
      </w:r>
      <w:r w:rsidRPr="005121E2">
        <w:rPr>
          <w:sz w:val="20"/>
          <w:szCs w:val="20"/>
        </w:rPr>
        <w:t>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p valor abaixo</w:t>
      </w:r>
      <w:r>
        <w:rPr>
          <w:sz w:val="20"/>
          <w:szCs w:val="20"/>
        </w:rPr>
        <w:t xml:space="preserve">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