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ICMS – SÃO PAULO</w:t>
      </w:r>
    </w:p>
    <w:p>
      <w:pPr>
        <w:jc w:val="center"/>
      </w:pPr>
      <w:r>
        <w:rPr>
          <w:b/>
          <w:sz w:val="28"/>
        </w:rPr>
        <w:t>Resumo de Estudo — Material Revisado e Simplificado</w:t>
      </w:r>
    </w:p>
    <w:p>
      <w:pPr>
        <w:jc w:val="center"/>
      </w:pPr>
      <w:r>
        <w:rPr>
          <w:i/>
        </w:rPr>
        <w:t>Base principal: Lei Estadual nº 6.374/1989 + conteúdo do material enviado</w:t>
        <w:br/>
      </w:r>
      <w:r>
        <w:rPr>
          <w:i/>
        </w:rPr>
        <w:t>Fonte oficial de referência: SEFAZ/SP — Legislação Tributária</w:t>
      </w:r>
    </w:p>
    <w:p/>
    <w:p>
      <w:pPr>
        <w:pStyle w:val="Heading1"/>
      </w:pPr>
      <w:r>
        <w:t>1. O que é o ICMS</w:t>
      </w:r>
    </w:p>
    <w:p>
      <w:r>
        <w:t>ICMS é o Imposto sobre Operações relativas à Circulação de Mercadorias e sobre Prestações de Serviços de Transporte Interestadual e Intermunicipal e de Comunicação. No material, a principal referência é a Lei nº 6.374/1989, regulamentada pelo RICMS/SP (Decreto nº 45.490/2000).</w:t>
      </w:r>
    </w:p>
    <w:p>
      <w:pPr>
        <w:pStyle w:val="ListBullet"/>
      </w:pPr>
      <w:r>
        <w:t>Incide, entre outras hipóteses, sobre circulação de mercadorias, transporte interestadual/intermunicipal e comunicação.</w:t>
      </w:r>
    </w:p>
    <w:p>
      <w:pPr>
        <w:pStyle w:val="ListBullet"/>
      </w:pPr>
      <w:r>
        <w:t>Também alcança determinadas entradas de mercadorias importadas e situações interestaduais previstas na legislação.</w:t>
      </w:r>
    </w:p>
    <w:p>
      <w:r>
        <w:rPr>
          <w:b/>
        </w:rPr>
        <w:t xml:space="preserve">📌 </w:t>
      </w:r>
      <w:r>
        <w:t>Para memorizar: ICMS = mercadoria + transporte interestadual/intermunicipal + comunicação.</w:t>
      </w:r>
    </w:p>
    <w:p>
      <w:pPr>
        <w:pStyle w:val="Heading1"/>
      </w:pPr>
      <w:r>
        <w:t>2. Contribuinte</w:t>
      </w:r>
    </w:p>
    <w:p>
      <w:r>
        <w:t>É contribuinte quem, de modo habitual ou em volume que caracterize intuito comercial, realiza operações relativas à circulação de mercadorias ou presta serviços de transporte interestadual/intermunicipal ou de comunicação.</w:t>
      </w:r>
    </w:p>
    <w:p>
      <w:pPr>
        <w:pStyle w:val="ListBullet"/>
      </w:pPr>
      <w:r>
        <w:t>Também há situações específicas em que a habitualidade não é exigida, como determinadas importações.</w:t>
      </w:r>
    </w:p>
    <w:p>
      <w:pPr>
        <w:pStyle w:val="ListBullet"/>
      </w:pPr>
      <w:r>
        <w:t>Nas operações destinadas a consumidor final em outro Estado, a legislação prevê regras próprias para a diferença entre a alíquota interna e a interestadual.</w:t>
      </w:r>
    </w:p>
    <w:p>
      <w:r>
        <w:rPr>
          <w:b/>
        </w:rPr>
        <w:t xml:space="preserve">📌 </w:t>
      </w:r>
      <w:r>
        <w:t>Pegadinha: importador pode ser contribuinte mesmo sem habitualidade.</w:t>
      </w:r>
    </w:p>
    <w:p>
      <w:pPr>
        <w:pStyle w:val="Heading1"/>
      </w:pPr>
      <w:r>
        <w:t>3. Base de cálculo — regra geral</w:t>
      </w:r>
    </w:p>
    <w:p>
      <w:r>
        <w:t>Em regra, a base de cálculo corresponde ao valor da operação ou da prestação, conforme a hipótese.</w:t>
      </w:r>
    </w:p>
    <w:p>
      <w:pPr>
        <w:pStyle w:val="ListBullet"/>
      </w:pPr>
      <w:r>
        <w:t>Saída de mercadoria: valor da operação.</w:t>
      </w:r>
    </w:p>
    <w:p>
      <w:pPr>
        <w:pStyle w:val="ListBullet"/>
      </w:pPr>
      <w:r>
        <w:t>Fornecimento de mercadoria com serviço: pode ser considerado o valor total da operação.</w:t>
      </w:r>
    </w:p>
    <w:p>
      <w:pPr>
        <w:pStyle w:val="ListBullet"/>
      </w:pPr>
      <w:r>
        <w:t>Serviço: preço/valor da prestação.</w:t>
      </w:r>
    </w:p>
    <w:p>
      <w:pPr>
        <w:pStyle w:val="ListBullet"/>
      </w:pPr>
      <w:r>
        <w:t>Importação: valor do documento de importação acrescido dos valores e despesas previstos na legislação.</w:t>
      </w:r>
    </w:p>
    <w:p>
      <w:r>
        <w:rPr>
          <w:b/>
        </w:rPr>
        <w:t xml:space="preserve">📌 </w:t>
      </w:r>
      <w:r>
        <w:t>Art. 24: primeiro identifique qual é a operação; depois determine a base correspondente.</w:t>
      </w:r>
    </w:p>
    <w:p>
      <w:pPr>
        <w:pStyle w:val="Heading1"/>
      </w:pPr>
      <w:r>
        <w:t>4. O que entra na base de cálculo</w:t>
      </w:r>
    </w:p>
    <w:p>
      <w:pPr>
        <w:pStyle w:val="ListBullet"/>
      </w:pPr>
      <w:r>
        <w:t>Seguros, juros e demais importâncias cobradas/recebidas ou debitadas, conforme a hipótese.</w:t>
      </w:r>
    </w:p>
    <w:p>
      <w:pPr>
        <w:pStyle w:val="ListBullet"/>
      </w:pPr>
      <w:r>
        <w:t>Frete quando realizado pelo remetente ou por sua conta e ordem, nas situações previstas.</w:t>
      </w:r>
    </w:p>
    <w:p>
      <w:pPr>
        <w:pStyle w:val="ListBullet"/>
      </w:pPr>
      <w:r>
        <w:t>IPI, salvo a hipótese legal em que a operação entre contribuintes e destinada à industrialização/comercialização seja fato gerador de ambos.</w:t>
      </w:r>
    </w:p>
    <w:p>
      <w:pPr>
        <w:pStyle w:val="ListBullet"/>
      </w:pPr>
      <w:r>
        <w:t>Montagem e instalação quando houver obrigação contratual do remetente.</w:t>
      </w:r>
    </w:p>
    <w:p>
      <w:pPr>
        <w:pStyle w:val="ListBullet"/>
      </w:pPr>
      <w:r>
        <w:t>Na importação, impostos, taxas, contribuições e despesas aduaneiras previstos na regra.</w:t>
      </w:r>
    </w:p>
    <w:p>
      <w:r>
        <w:rPr>
          <w:b/>
        </w:rPr>
        <w:t xml:space="preserve">📌 </w:t>
      </w:r>
      <w:r>
        <w:t>Desconto incondicional: o material reproduz a regra de que descontos/abatimentos incondicionalmente concedidos não integram a base.</w:t>
      </w:r>
    </w:p>
    <w:p>
      <w:pPr>
        <w:pStyle w:val="Heading1"/>
      </w:pPr>
      <w:r>
        <w:t>5. Quando falta o valor da operação — Art. 25</w:t>
      </w:r>
    </w:p>
    <w:p>
      <w:r>
        <w:t>Quando não existe o valor necessário para a regra normal, a legislação estabelece critérios de referência.</w:t>
      </w:r>
    </w:p>
    <w:p>
      <w:pPr>
        <w:pStyle w:val="ListBullet"/>
      </w:pPr>
      <w:r>
        <w:t>Produtor/extrator/gerador: preço corrente da mercadoria ou similar no mercado atacadista.</w:t>
      </w:r>
    </w:p>
    <w:p>
      <w:pPr>
        <w:pStyle w:val="ListBullet"/>
      </w:pPr>
      <w:r>
        <w:t>Industrial: preço FOB do estabelecimento industrial, à vista.</w:t>
      </w:r>
    </w:p>
    <w:p>
      <w:pPr>
        <w:pStyle w:val="ListBullet"/>
      </w:pPr>
      <w:r>
        <w:t>Comerciante: preço FOB do estabelecimento comercial, à vista, nas vendas a outros comerciantes/industriais.</w:t>
      </w:r>
    </w:p>
    <w:p>
      <w:pPr>
        <w:pStyle w:val="ListBullet"/>
      </w:pPr>
      <w:r>
        <w:t>Em hipótese específica, pode ser utilizada base equivalente a 75% do preço de venda corrente no varejo.</w:t>
      </w:r>
    </w:p>
    <w:p>
      <w:r>
        <w:rPr>
          <w:b/>
        </w:rPr>
        <w:t xml:space="preserve">📌 </w:t>
      </w:r>
      <w:r>
        <w:t>Decore: sem valor → mercado atacadista / FOB industrial / FOB comercial, conforme o caso.</w:t>
      </w:r>
    </w:p>
    <w:p>
      <w:pPr>
        <w:pStyle w:val="Heading1"/>
      </w:pPr>
      <w:r>
        <w:t>6. Operação entre estabelecimentos do mesmo titular — Art. 26</w:t>
      </w:r>
    </w:p>
    <w:p>
      <w:pPr>
        <w:pStyle w:val="ListBullet"/>
      </w:pPr>
      <w:r>
        <w:t>Para saída para outro Estado/DF do mesmo titular: valor da entrada mais recente.</w:t>
      </w:r>
    </w:p>
    <w:p>
      <w:pPr>
        <w:pStyle w:val="ListBullet"/>
      </w:pPr>
      <w:r>
        <w:t>Ou custo da mercadoria produzida: matéria-prima + material secundário + mão de obra + acondicionamento.</w:t>
      </w:r>
    </w:p>
    <w:p>
      <w:pPr>
        <w:pStyle w:val="ListBullet"/>
      </w:pPr>
      <w:r>
        <w:t>Para mercadoria não industrializada: preço corrente no mercado atacadista do estabelecimento remetente.</w:t>
      </w:r>
    </w:p>
    <w:p>
      <w:r>
        <w:rPr>
          <w:b/>
        </w:rPr>
        <w:t xml:space="preserve">📌 </w:t>
      </w:r>
      <w:r>
        <w:t>A questão costuma testar a diferença entre operação interna e interestadual entre estabelecimentos do mesmo titular.</w:t>
      </w:r>
    </w:p>
    <w:p>
      <w:pPr>
        <w:pStyle w:val="Heading1"/>
      </w:pPr>
      <w:r>
        <w:t>7. Serviço sem preço determinado — Art. 27</w:t>
      </w:r>
    </w:p>
    <w:p>
      <w:r>
        <w:t>Nas prestações sem preço determinado, a base de cálculo é o valor corrente do serviço no local da prestação.</w:t>
      </w:r>
    </w:p>
    <w:p>
      <w:r>
        <w:rPr>
          <w:b/>
        </w:rPr>
        <w:t xml:space="preserve">📌 </w:t>
      </w:r>
      <w:r>
        <w:t>Palavra-chave: VALOR CORRENTE.</w:t>
      </w:r>
    </w:p>
    <w:p>
      <w:pPr>
        <w:pStyle w:val="Heading1"/>
      </w:pPr>
      <w:r>
        <w:t>8. Substituição tributária — ICMS-ST</w:t>
      </w:r>
    </w:p>
    <w:p>
      <w:r>
        <w:t>Na substituição tributária, o responsável recolhe o imposto relativo às operações/prestações subsequentes, conforme as hipóteses previstas na legislação.</w:t>
      </w:r>
    </w:p>
    <w:p>
      <w:pPr>
        <w:pStyle w:val="ListBullet"/>
      </w:pPr>
      <w:r>
        <w:t>Se existir preço final a consumidor, único ou máximo, autorizado/fixado por autoridade competente, ele pode ser a base.</w:t>
      </w:r>
    </w:p>
    <w:p>
      <w:pPr>
        <w:pStyle w:val="ListBullet"/>
      </w:pPr>
      <w:r>
        <w:t>Na falta desse preço, aplica-se a metodologia legal: valor da operação + frete/seguro/impostos/outros encargos + margem de valor agregado, conforme a hipótese.</w:t>
      </w:r>
    </w:p>
    <w:p>
      <w:pPr>
        <w:pStyle w:val="ListBullet"/>
      </w:pPr>
      <w:r>
        <w:t>Preço sugerido pelo fabricante/importador pode ser adotado quando atendidos os requisitos legais.</w:t>
      </w:r>
    </w:p>
    <w:p>
      <w:r>
        <w:rPr>
          <w:b/>
        </w:rPr>
        <w:t xml:space="preserve">📌 </w:t>
      </w:r>
      <w:r>
        <w:t>Ideia central: na ST, a base procura antecipar o valor da operação futura ao consumidor.</w:t>
      </w:r>
    </w:p>
    <w:p>
      <w:pPr>
        <w:pStyle w:val="Heading1"/>
      </w:pPr>
      <w:r>
        <w:t>9. IVA-ST</w:t>
      </w:r>
    </w:p>
    <w:p>
      <w:r>
        <w:t>O IVA-ST (Índice de Valor Adicionado Setorial) representa a margem utilizada para estimar o valor das operações subsequentes na substituição tributária.</w:t>
      </w:r>
    </w:p>
    <w:p>
      <w:pPr>
        <w:pStyle w:val="ListBullet"/>
      </w:pPr>
      <w:r>
        <w:t>A base pode ser formada pelo preço praticado pelo sujeito passivo, acrescido do valor adicionado calculado pelo IVA-ST.</w:t>
      </w:r>
    </w:p>
    <w:p>
      <w:pPr>
        <w:pStyle w:val="ListBullet"/>
      </w:pPr>
      <w:r>
        <w:t>O IVA-ST é definido segundo a mercadoria/serviço e a disciplina aplicável.</w:t>
      </w:r>
    </w:p>
    <w:p>
      <w:pPr>
        <w:pStyle w:val="ListBullet"/>
      </w:pPr>
      <w:r>
        <w:t>Há hipóteses em que a aplicação do IVA-ST fica afastada porque existe preço final, margem ou levantamento específico já estabelecido.</w:t>
      </w:r>
    </w:p>
    <w:p>
      <w:r>
        <w:rPr>
          <w:b/>
        </w:rPr>
        <w:t xml:space="preserve">📌 </w:t>
      </w:r>
      <w:r>
        <w:t>Não confunda IVA-ST com alíquota: IVA-ST é margem/valor adicionado; alíquota é percentual do imposto.</w:t>
      </w:r>
    </w:p>
    <w:p>
      <w:pPr>
        <w:pStyle w:val="Heading1"/>
      </w:pPr>
      <w:r>
        <w:t>10. IVA-ST ajustado</w:t>
      </w:r>
    </w:p>
    <w:p>
      <w:r>
        <w:t>Na entrada de mercadoria de outra unidade da Federação, quando atendida a hipótese prevista no material, utiliza-se o IVA-ST ajustado.</w:t>
      </w:r>
    </w:p>
    <w:p>
      <w:r>
        <w:rPr>
          <w:b/>
        </w:rPr>
        <w:t xml:space="preserve">Fórmula: </w:t>
      </w:r>
      <w:r>
        <w:t>IVA-ST ajustado = [(1 + IVA-ST original) × (1 − ALQ inter) / (1 − ALQ intra)] − 1</w:t>
      </w:r>
    </w:p>
    <w:p>
      <w:pPr>
        <w:pStyle w:val="ListBullet"/>
      </w:pPr>
      <w:r>
        <w:t>IVA-ST original = IVA aplicável à operação interna.</w:t>
      </w:r>
    </w:p>
    <w:p>
      <w:pPr>
        <w:pStyle w:val="ListBullet"/>
      </w:pPr>
      <w:r>
        <w:t>ALQ inter = alíquota interestadual aplicada pelo remetente.</w:t>
      </w:r>
    </w:p>
    <w:p>
      <w:pPr>
        <w:pStyle w:val="ListBullet"/>
      </w:pPr>
      <w:r>
        <w:t>ALQ intra = alíquota interna aplicável à mercadoria em São Paulo.</w:t>
      </w:r>
    </w:p>
    <w:p>
      <w:r>
        <w:rPr>
          <w:b/>
        </w:rPr>
        <w:t xml:space="preserve">📌 </w:t>
      </w:r>
      <w:r>
        <w:t>Essa fórmula merece atenção especial em exercícios.</w:t>
      </w:r>
    </w:p>
    <w:p>
      <w:pPr>
        <w:pStyle w:val="Heading1"/>
      </w:pPr>
      <w:r>
        <w:t>11. Levantamento de preços</w:t>
      </w:r>
    </w:p>
    <w:p>
      <w:pPr>
        <w:pStyle w:val="ListBullet"/>
      </w:pPr>
      <w:r>
        <w:t>Pode ser feito pela Secretaria da Fazenda ou, conforme a disciplina, por entidade representativa/setorial.</w:t>
      </w:r>
    </w:p>
    <w:p>
      <w:pPr>
        <w:pStyle w:val="ListBullet"/>
      </w:pPr>
      <w:r>
        <w:t>Pode usar pesquisa por amostragem e média ponderada.</w:t>
      </w:r>
    </w:p>
    <w:p>
      <w:pPr>
        <w:pStyle w:val="ListBullet"/>
      </w:pPr>
      <w:r>
        <w:t>Considera preços de fabricante/importador, atacadista e varejo, conforme a metodologia.</w:t>
      </w:r>
    </w:p>
    <w:p>
      <w:pPr>
        <w:pStyle w:val="ListBullet"/>
      </w:pPr>
      <w:r>
        <w:t>Frete, seguro e demais despesas podem compor os valores pesquisados.</w:t>
      </w:r>
    </w:p>
    <w:p>
      <w:pPr>
        <w:pStyle w:val="ListBullet"/>
      </w:pPr>
      <w:r>
        <w:t>Preços promocionais e comercialização privilegiada não devem ser considerados.</w:t>
      </w:r>
    </w:p>
    <w:p>
      <w:pPr>
        <w:pStyle w:val="ListBullet"/>
      </w:pPr>
      <w:r>
        <w:t>A margem é obtida pela relação percentual entre os valores definidos na metodologia.</w:t>
      </w:r>
    </w:p>
    <w:p>
      <w:r>
        <w:rPr>
          <w:b/>
        </w:rPr>
        <w:t xml:space="preserve">📌 </w:t>
      </w:r>
      <w:r>
        <w:t>Prazo citado no material para impugnação do percentual/preço publicado: 10 dias.</w:t>
      </w:r>
    </w:p>
    <w:p>
      <w:pPr>
        <w:pStyle w:val="Heading1"/>
      </w:pPr>
      <w:r>
        <w:t>12. Média ponderada do preço ao consumidor</w:t>
      </w:r>
    </w:p>
    <w:p>
      <w:r>
        <w:t>A legislação pode utilizar a média ponderada dos preços ao consumidor final usualmente praticados no mercado como base para operações subsequentes sujeitas à ST.</w:t>
      </w:r>
    </w:p>
    <w:p>
      <w:pPr>
        <w:pStyle w:val="ListBullet"/>
      </w:pPr>
      <w:r>
        <w:t>O levantamento deve considerar, no mínimo, preço de venda à vista no varejo, incluindo frete, seguro e demais despesas cobradas do adquirente.</w:t>
      </w:r>
    </w:p>
    <w:p>
      <w:pPr>
        <w:pStyle w:val="ListBullet"/>
      </w:pPr>
      <w:r>
        <w:t>Preços promocionais não entram.</w:t>
      </w:r>
    </w:p>
    <w:p>
      <w:pPr>
        <w:pStyle w:val="ListBullet"/>
      </w:pPr>
      <w:r>
        <w:t>Podem ser usados dados fornecidos por contribuintes em obrigações acessórias, conforme a legislação.</w:t>
      </w:r>
    </w:p>
    <w:p>
      <w:pPr>
        <w:pStyle w:val="Heading1"/>
      </w:pPr>
      <w:r>
        <w:t>13. Pauta fiscal — Art. 30</w:t>
      </w:r>
    </w:p>
    <w:p>
      <w:pPr>
        <w:pStyle w:val="ListBullet"/>
      </w:pPr>
      <w:r>
        <w:t>A Secretaria da Fazenda pode fixar valor mínimo de operações/prestações por meio de pauta.</w:t>
      </w:r>
    </w:p>
    <w:p>
      <w:pPr>
        <w:pStyle w:val="ListBullet"/>
      </w:pPr>
      <w:r>
        <w:t>A pauta pode ser alterada e aplicada por regiões/categorias/setores.</w:t>
      </w:r>
    </w:p>
    <w:p>
      <w:pPr>
        <w:pStyle w:val="ListBullet"/>
      </w:pPr>
      <w:r>
        <w:t>Se o contribuinte discordar, pode comprovar a exatidão do valor declarado, observadas as regras legais.</w:t>
      </w:r>
    </w:p>
    <w:p>
      <w:pPr>
        <w:pStyle w:val="Heading1"/>
      </w:pPr>
      <w:r>
        <w:t>14. Arbitramento — Art. 31</w:t>
      </w:r>
    </w:p>
    <w:p>
      <w:r>
        <w:t>A autoridade fiscal pode arbitrar o valor da operação/prestação, especialmente quando:</w:t>
      </w:r>
    </w:p>
    <w:p>
      <w:pPr>
        <w:pStyle w:val="ListBullet"/>
      </w:pPr>
      <w:r>
        <w:t>não são apresentados elementos necessários para comprovar o preço, inclusive em caso de perda/extravio de livros ou documentos;</w:t>
      </w:r>
    </w:p>
    <w:p>
      <w:pPr>
        <w:pStyle w:val="ListBullet"/>
      </w:pPr>
      <w:r>
        <w:t>há fundada suspeita de que os documentos fiscais não refletem o preço real;</w:t>
      </w:r>
    </w:p>
    <w:p>
      <w:pPr>
        <w:pStyle w:val="ListBullet"/>
      </w:pPr>
      <w:r>
        <w:t>os documentos fiscais apresentam valor notoriamente inferior ao preço corrente;</w:t>
      </w:r>
    </w:p>
    <w:p>
      <w:pPr>
        <w:pStyle w:val="ListBullet"/>
      </w:pPr>
      <w:r>
        <w:t>a mercadoria é transportada, possuída ou detida sem documento fiscal.</w:t>
      </w:r>
    </w:p>
    <w:p>
      <w:r>
        <w:rPr>
          <w:b/>
        </w:rPr>
        <w:t xml:space="preserve">📌 </w:t>
      </w:r>
      <w:r>
        <w:t>Decore as quatro situações: não comprova → suspeita → valor muito baixo → sem documento.</w:t>
      </w:r>
    </w:p>
    <w:p>
      <w:pPr>
        <w:pStyle w:val="Heading1"/>
      </w:pPr>
      <w:r>
        <w:t>15. Moeda estrangeira — Art. 32</w:t>
      </w:r>
    </w:p>
    <w:p>
      <w:pPr>
        <w:pStyle w:val="ListBullet"/>
      </w:pPr>
      <w:r>
        <w:t>O valor da operação/prestação deve ser calculado em moeda nacional.</w:t>
      </w:r>
    </w:p>
    <w:p>
      <w:pPr>
        <w:pStyle w:val="ListBullet"/>
      </w:pPr>
      <w:r>
        <w:t>Valor em moeda estrangeira: conversão pela taxa cambial aplicável na data do fato gerador, observadas as regras específicas para importação.</w:t>
      </w:r>
    </w:p>
    <w:p>
      <w:pPr>
        <w:pStyle w:val="ListBullet"/>
      </w:pPr>
      <w:r>
        <w:t>Valores reajustáveis/indexados seguem os critérios legais indicados no artigo.</w:t>
      </w:r>
    </w:p>
    <w:p>
      <w:pPr>
        <w:pStyle w:val="Heading1"/>
      </w:pPr>
      <w:r>
        <w:t>16. ICMS por dentro — Art. 33</w:t>
      </w:r>
    </w:p>
    <w:p>
      <w:r>
        <w:t>O montante do próprio ICMS integra sua base de cálculo.</w:t>
      </w:r>
    </w:p>
    <w:p>
      <w:r>
        <w:rPr>
          <w:b/>
        </w:rPr>
        <w:t xml:space="preserve">📌 </w:t>
      </w:r>
      <w:r>
        <w:t>Nome para memorizar: cálculo 'por dentro'.</w:t>
      </w:r>
    </w:p>
    <w:p>
      <w:pPr>
        <w:pStyle w:val="Heading1"/>
      </w:pPr>
      <w:r>
        <w:t>17. Não incidência — Art. 4º</w:t>
      </w:r>
    </w:p>
    <w:p>
      <w:r>
        <w:t>Entre as hipóteses reproduzidas no material estão:</w:t>
      </w:r>
    </w:p>
    <w:p>
      <w:pPr>
        <w:pStyle w:val="ListBullet"/>
      </w:pPr>
      <w:r>
        <w:t>saída para armazém geral situado em São Paulo, para depósito em nome do remetente;</w:t>
      </w:r>
    </w:p>
    <w:p>
      <w:pPr>
        <w:pStyle w:val="ListBullet"/>
      </w:pPr>
      <w:r>
        <w:t>saída para depósito fechado do próprio contribuinte em São Paulo;</w:t>
      </w:r>
    </w:p>
    <w:p>
      <w:pPr>
        <w:pStyle w:val="ListBullet"/>
      </w:pPr>
      <w:r>
        <w:t>retorno ao estabelecimento depositante;</w:t>
      </w:r>
    </w:p>
    <w:p>
      <w:pPr>
        <w:pStyle w:val="ListBullet"/>
      </w:pPr>
      <w:r>
        <w:t>saída de bem do ativo permanente;</w:t>
      </w:r>
    </w:p>
    <w:p>
      <w:pPr>
        <w:pStyle w:val="ListBullet"/>
      </w:pPr>
      <w:r>
        <w:t>saída de material de uso/consumo para outro estabelecimento do mesmo titular, na hipótese prevista;</w:t>
      </w:r>
    </w:p>
    <w:p>
      <w:pPr>
        <w:pStyle w:val="ListBullet"/>
      </w:pPr>
      <w:r>
        <w:t>livros, jornais e periódicos, e papel destinado à impressão;</w:t>
      </w:r>
    </w:p>
    <w:p>
      <w:pPr>
        <w:pStyle w:val="ListBullet"/>
      </w:pPr>
      <w:r>
        <w:t>determinadas operações destinadas ao exterior;</w:t>
      </w:r>
    </w:p>
    <w:p>
      <w:pPr>
        <w:pStyle w:val="ListBullet"/>
      </w:pPr>
      <w:r>
        <w:t>determinadas saídas interestaduais de energia elétrica e petróleo/derivados;</w:t>
      </w:r>
    </w:p>
    <w:p>
      <w:pPr>
        <w:pStyle w:val="ListBullet"/>
      </w:pPr>
      <w:r>
        <w:t>ouro quando definido em lei como ativo financeiro ou instrumento cambial.</w:t>
      </w:r>
    </w:p>
    <w:p>
      <w:r>
        <w:rPr>
          <w:b/>
        </w:rPr>
        <w:t xml:space="preserve">📌 </w:t>
      </w:r>
      <w:r>
        <w:t>Não incidência deve ser estudada por hipótese: não basta decorar que 'não incide'.</w:t>
      </w:r>
    </w:p>
    <w:p>
      <w:pPr>
        <w:pStyle w:val="Heading1"/>
      </w:pPr>
      <w:r>
        <w:t>18. Alíquotas — visão para prova</w:t>
      </w:r>
    </w:p>
    <w:p>
      <w:r>
        <w:t>O material traz diversas alíquotas e muitas exceções por produto. Para não transformar o resumo em uma lista enorme, priorize a lógica:</w:t>
      </w:r>
    </w:p>
    <w:p>
      <w:pPr>
        <w:pStyle w:val="ListBullet"/>
      </w:pPr>
      <w:r>
        <w:t>Alíquota interna: aplicada às operações/prestações internas, observadas as exceções.</w:t>
      </w:r>
    </w:p>
    <w:p>
      <w:pPr>
        <w:pStyle w:val="ListBullet"/>
      </w:pPr>
      <w:r>
        <w:t>Alíquota interestadual: definida conforme as regras aplicáveis às operações entre Estados.</w:t>
      </w:r>
    </w:p>
    <w:p>
      <w:pPr>
        <w:pStyle w:val="ListBullet"/>
      </w:pPr>
      <w:r>
        <w:t>Existem alíquotas específicas para determinados produtos e serviços.</w:t>
      </w:r>
    </w:p>
    <w:p>
      <w:pPr>
        <w:pStyle w:val="ListBullet"/>
      </w:pPr>
      <w:r>
        <w:t>O material cita, entre outras, alíquotas de 18%, 12%, 7%, 4% e 25%, conforme a operação/produto.</w:t>
      </w:r>
    </w:p>
    <w:p>
      <w:r>
        <w:rPr>
          <w:b/>
        </w:rPr>
        <w:t xml:space="preserve">📌 </w:t>
      </w:r>
      <w:r>
        <w:t>Para exercícios, sempre leia o produto e o destino antes de escolher a alíquota.</w:t>
      </w:r>
    </w:p>
    <w:p>
      <w:pPr>
        <w:pStyle w:val="Heading1"/>
      </w:pPr>
      <w:r>
        <w:t>19. DIFAL — somente o essencial</w:t>
      </w:r>
    </w:p>
    <w:p>
      <w:r>
        <w:t>O material também traz a regra da diferença entre a alíquota interna do Estado de destino e a alíquota interestadual em determinadas operações/prestações interestaduais.</w:t>
      </w:r>
    </w:p>
    <w:p>
      <w:r>
        <w:rPr>
          <w:b/>
        </w:rPr>
        <w:t xml:space="preserve">Ideia: </w:t>
      </w:r>
      <w:r>
        <w:t>DIFAL = diferença entre alíquota interna e interestadual, na hipótese legal aplicável.</w:t>
      </w:r>
    </w:p>
    <w:p>
      <w:r>
        <w:rPr>
          <w:b/>
        </w:rPr>
        <w:t xml:space="preserve">📌 </w:t>
      </w:r>
      <w:r>
        <w:t>Não é necessário transformar DIFAL em um capítulo extenso se ele não estiver no foco da sua prova.</w:t>
      </w:r>
    </w:p>
    <w:p>
      <w:pPr>
        <w:pStyle w:val="Heading1"/>
      </w:pPr>
      <w:r>
        <w:t>20. O que NÃO precisa entrar neste resumo</w:t>
      </w:r>
    </w:p>
    <w:p>
      <w:r>
        <w:t>Para manter o material objetivo, não foram incorporados como capítulos principais assuntos que não faziam parte do núcleo do documento enviado, como estorno detalhado de créditos, crédito acumulado, regras de encerramento de estabelecimento e outras matérias avançadas. Eles podem ser estudados depois se o edital exigir.</w:t>
      </w:r>
    </w:p>
    <w:p>
      <w:pPr>
        <w:pStyle w:val="Heading1"/>
      </w:pPr>
      <w:r>
        <w:t>Legislação essencial — nomes</w:t>
      </w:r>
    </w:p>
    <w:p>
      <w:pPr>
        <w:pStyle w:val="ListBullet"/>
      </w:pPr>
      <w:r>
        <w:t>Lei Estadual nº 6.374/1989</w:t>
      </w:r>
    </w:p>
    <w:p>
      <w:pPr>
        <w:pStyle w:val="ListBullet"/>
      </w:pPr>
      <w:r>
        <w:t>Decreto nº 45.490/2000 — RICMS/SP</w:t>
      </w:r>
    </w:p>
    <w:p>
      <w:pPr>
        <w:pStyle w:val="ListBullet"/>
      </w:pPr>
      <w:r>
        <w:t>Lei Complementar nº 87/1996 — Lei Kandir</w:t>
      </w:r>
    </w:p>
    <w:p>
      <w:pPr>
        <w:pStyle w:val="ListBullet"/>
      </w:pPr>
      <w:r>
        <w:t>Lei Complementar nº 24/1975</w:t>
      </w:r>
    </w:p>
    <w:p>
      <w:pPr>
        <w:pStyle w:val="Heading1"/>
      </w:pPr>
      <w:r>
        <w:rPr>
          <w:b w:val="0"/>
        </w:rPr>
        <w:t>20A. Fórmulas e formas de cálculo para revisão</w:t>
      </w:r>
    </w:p>
    <w:p>
      <w:pPr>
        <w:pStyle w:val="Heading2"/>
      </w:pPr>
      <w:r>
        <w:rPr>
          <w:b/>
        </w:rPr>
        <w:t>10. Margem de valor agregado — forma percentual</w:t>
      </w:r>
    </w:p>
    <w:p>
      <w:r>
        <w:rPr>
          <w:b/>
          <w:sz w:val="22"/>
        </w:rPr>
        <w:t>MVA/IVA = [(valor subsequente − valor de referência) / valor de referência] × 100</w:t>
      </w:r>
    </w:p>
    <w:p>
      <w:r>
        <w:t>Forma matemática de representar uma margem percentual; a metodologia legal específica prevalece para o cálculo oficial.</w:t>
      </w:r>
    </w:p>
    <w:p>
      <w:pPr>
        <w:pStyle w:val="Heading2"/>
      </w:pPr>
      <w:r>
        <w:rPr>
          <w:b/>
        </w:rPr>
        <w:t>9. Média ponderada</w:t>
      </w:r>
    </w:p>
    <w:p>
      <w:r>
        <w:rPr>
          <w:b/>
          <w:sz w:val="22"/>
        </w:rPr>
        <w:t>Média ponderada = Σ(preço × quantidade) / Σ(quantidade)</w:t>
      </w:r>
    </w:p>
    <w:p>
      <w:r>
        <w:t>Forma matemática de representar uma média ponderada. No contexto do material, a legislação define a metodologia e os preços que podem ser considerados.</w:t>
      </w:r>
    </w:p>
    <w:p>
      <w:pPr>
        <w:pStyle w:val="Heading2"/>
      </w:pPr>
      <w:r>
        <w:rPr>
          <w:b/>
        </w:rPr>
        <w:t>8. Alíquota — fórmula conceitual</w:t>
      </w:r>
    </w:p>
    <w:p>
      <w:r>
        <w:rPr>
          <w:b/>
          <w:sz w:val="22"/>
        </w:rPr>
        <w:t>ICMS = base de cálculo × alíquota</w:t>
      </w:r>
    </w:p>
    <w:p>
      <w:r>
        <w:t>Primeiro identifique a base; depois aplique a alíquota correspondente à operação.</w:t>
      </w:r>
    </w:p>
    <w:p>
      <w:pPr>
        <w:pStyle w:val="Heading2"/>
      </w:pPr>
      <w:r>
        <w:rPr>
          <w:b/>
        </w:rPr>
        <w:t>7. ICMS por dentro</w:t>
      </w:r>
    </w:p>
    <w:p>
      <w:r>
        <w:rPr>
          <w:b/>
          <w:sz w:val="22"/>
        </w:rPr>
        <w:t>O ICMS integra a própria base de cálculo.</w:t>
      </w:r>
    </w:p>
    <w:p>
      <w:r>
        <w:t>Forma conceitual: Base de cálculo contém o próprio ICMS. O destaque do imposto serve para controle.</w:t>
      </w:r>
    </w:p>
    <w:p>
      <w:pPr>
        <w:pStyle w:val="Heading2"/>
      </w:pPr>
      <w:r>
        <w:rPr>
          <w:b/>
        </w:rPr>
        <w:t>6. DIFAL — ideia de cálculo</w:t>
      </w:r>
    </w:p>
    <w:p>
      <w:r>
        <w:rPr>
          <w:b/>
          <w:sz w:val="22"/>
        </w:rPr>
        <w:t>DIFAL = alíquota interna − alíquota interestadual</w:t>
      </w:r>
    </w:p>
    <w:p>
      <w:r>
        <w:t>Use apenas nas hipóteses legais em que houver diferencial de alíquota.</w:t>
      </w:r>
    </w:p>
    <w:p>
      <w:pPr>
        <w:pStyle w:val="Heading2"/>
      </w:pPr>
      <w:r>
        <w:rPr>
          <w:b/>
        </w:rPr>
        <w:t>5. IVA-ST ajustado</w:t>
      </w:r>
    </w:p>
    <w:p>
      <w:r>
        <w:rPr>
          <w:b/>
          <w:sz w:val="22"/>
        </w:rPr>
        <w:t>IVA-ST ajustado = [(1 + IVA-ST original) × (1 − ALQ inter) / (1 − ALQ intra)] − 1</w:t>
      </w:r>
    </w:p>
    <w:p>
      <w:r>
        <w:t>ALQ inter = alíquota interestadual; ALQ intra = alíquota interna.</w:t>
      </w:r>
    </w:p>
    <w:p>
      <w:pPr>
        <w:pStyle w:val="Heading2"/>
      </w:pPr>
      <w:r>
        <w:rPr>
          <w:b/>
        </w:rPr>
        <w:t>4. ICMS-ST — forma de visualizar o imposto retido</w:t>
      </w:r>
    </w:p>
    <w:p>
      <w:r>
        <w:rPr>
          <w:b/>
          <w:sz w:val="22"/>
        </w:rPr>
        <w:t>ICMS-ST = (base de cálculo da ST × alíquota) − ICMS da operação própria</w:t>
      </w:r>
    </w:p>
    <w:p>
      <w:r>
        <w:t>Esta é a forma de organizar o cálculo do imposto retido quando a base da ST já estiver determinada.</w:t>
      </w:r>
    </w:p>
    <w:p>
      <w:pPr>
        <w:pStyle w:val="Heading2"/>
      </w:pPr>
      <w:r>
        <w:rPr>
          <w:b/>
        </w:rPr>
        <w:t>3. Substituição tributária — estrutura da base</w:t>
      </w:r>
    </w:p>
    <w:p>
      <w:r>
        <w:rPr>
          <w:b/>
          <w:sz w:val="22"/>
        </w:rPr>
        <w:t>Base de cálculo da ST = valor da operação + frete + seguro + impostos + outros encargos + margem</w:t>
      </w:r>
    </w:p>
    <w:p>
      <w:r>
        <w:t>Aplicável na hipótese em que não exista preço final/máximo/único previamente estabelecido.</w:t>
      </w:r>
    </w:p>
    <w:p>
      <w:pPr>
        <w:pStyle w:val="Heading2"/>
      </w:pPr>
      <w:r>
        <w:rPr>
          <w:b/>
        </w:rPr>
        <w:t>2. Base de cálculo da importação</w:t>
      </w:r>
    </w:p>
    <w:p>
      <w:r>
        <w:rPr>
          <w:b/>
          <w:sz w:val="22"/>
        </w:rPr>
        <w:t>Base de cálculo = valor da operação de importação + valores/despesas previstos na legislação</w:t>
      </w:r>
    </w:p>
    <w:p>
      <w:r>
        <w:t>O material destaca que a importação possui acréscimos próprios previstos na legislação.</w:t>
      </w:r>
    </w:p>
    <w:p>
      <w:pPr>
        <w:pStyle w:val="Heading2"/>
      </w:pPr>
      <w:r>
        <w:rPr>
          <w:b/>
        </w:rPr>
        <w:t>1. Base de cálculo — regra geral</w:t>
      </w:r>
    </w:p>
    <w:p>
      <w:r>
        <w:rPr>
          <w:b/>
          <w:sz w:val="22"/>
        </w:rPr>
        <w:t>Base de cálculo = valor da operação ou da prestação</w:t>
      </w:r>
    </w:p>
    <w:p>
      <w:r>
        <w:t>Use conforme a hipótese: saída de mercadoria, prestação de serviço, fornecimento com mercadoria etc.</w:t>
      </w:r>
    </w:p>
    <w:p>
      <w:pPr>
        <w:pStyle w:val="Heading2"/>
      </w:pPr>
      <w:r>
        <w:rPr>
          <w:b/>
        </w:rPr>
        <w:t>Tabela de fórmulas para decorar</w:t>
      </w:r>
    </w:p>
    <w:p>
      <w:r>
        <w:rPr>
          <w:b/>
        </w:rPr>
        <w:t xml:space="preserve">⚠️ Atenção: </w:t>
      </w:r>
      <w:r>
        <w:t>as fórmulas acima organizam matematicamente as regras apresentadas no seu material. Quando a legislação estabelecer uma metodologia específica para uma situação, essa metodologia legal prevalece.</w:t>
      </w:r>
    </w:p>
    <w:p>
      <w:pPr>
        <w:pStyle w:val="Heading1"/>
      </w:pPr>
      <w:r>
        <w:t>21. Mapa mental para revisão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ASSUNTO</w:t>
            </w:r>
          </w:p>
        </w:tc>
        <w:tc>
          <w:tcPr>
            <w:tcW w:type="dxa" w:w="4986"/>
          </w:tcPr>
          <w:p>
            <w:r>
              <w:t>O QUE DECORAR</w:t>
            </w:r>
          </w:p>
        </w:tc>
      </w:tr>
      <w:tr>
        <w:tc>
          <w:tcPr>
            <w:tcW w:type="dxa" w:w="4986"/>
          </w:tcPr>
          <w:p>
            <w:r>
              <w:t>Contribuinte</w:t>
            </w:r>
          </w:p>
        </w:tc>
        <w:tc>
          <w:tcPr>
            <w:tcW w:type="dxa" w:w="4986"/>
          </w:tcPr>
          <w:p>
            <w:r>
              <w:t>Habitualidade/volume comercial; exceções legais.</w:t>
            </w:r>
          </w:p>
        </w:tc>
      </w:tr>
      <w:tr>
        <w:tc>
          <w:tcPr>
            <w:tcW w:type="dxa" w:w="4986"/>
          </w:tcPr>
          <w:p>
            <w:r>
              <w:t>Base de cálculo</w:t>
            </w:r>
          </w:p>
        </w:tc>
        <w:tc>
          <w:tcPr>
            <w:tcW w:type="dxa" w:w="4986"/>
          </w:tcPr>
          <w:p>
            <w:r>
              <w:t>Em regra, valor da operação/prestação.</w:t>
            </w:r>
          </w:p>
        </w:tc>
      </w:tr>
      <w:tr>
        <w:tc>
          <w:tcPr>
            <w:tcW w:type="dxa" w:w="4986"/>
          </w:tcPr>
          <w:p>
            <w:r>
              <w:t>Integram a base</w:t>
            </w:r>
          </w:p>
        </w:tc>
        <w:tc>
          <w:tcPr>
            <w:tcW w:type="dxa" w:w="4986"/>
          </w:tcPr>
          <w:p>
            <w:r>
              <w:t>Frete, seguro, juros, encargos e IPI nas hipóteses legais.</w:t>
            </w:r>
          </w:p>
        </w:tc>
      </w:tr>
      <w:tr>
        <w:tc>
          <w:tcPr>
            <w:tcW w:type="dxa" w:w="4986"/>
          </w:tcPr>
          <w:p>
            <w:r>
              <w:t>Art. 25</w:t>
            </w:r>
          </w:p>
        </w:tc>
        <w:tc>
          <w:tcPr>
            <w:tcW w:type="dxa" w:w="4986"/>
          </w:tcPr>
          <w:p>
            <w:r>
              <w:t>Critérios quando falta o valor.</w:t>
            </w:r>
          </w:p>
        </w:tc>
      </w:tr>
      <w:tr>
        <w:tc>
          <w:tcPr>
            <w:tcW w:type="dxa" w:w="4986"/>
          </w:tcPr>
          <w:p>
            <w:r>
              <w:t>Art. 26</w:t>
            </w:r>
          </w:p>
        </w:tc>
        <w:tc>
          <w:tcPr>
            <w:tcW w:type="dxa" w:w="4986"/>
          </w:tcPr>
          <w:p>
            <w:r>
              <w:t>Mesmo titular em outro Estado.</w:t>
            </w:r>
          </w:p>
        </w:tc>
      </w:tr>
      <w:tr>
        <w:tc>
          <w:tcPr>
            <w:tcW w:type="dxa" w:w="4986"/>
          </w:tcPr>
          <w:p>
            <w:r>
              <w:t>Art. 27</w:t>
            </w:r>
          </w:p>
        </w:tc>
        <w:tc>
          <w:tcPr>
            <w:tcW w:type="dxa" w:w="4986"/>
          </w:tcPr>
          <w:p>
            <w:r>
              <w:t>Serviço sem preço → valor corrente.</w:t>
            </w:r>
          </w:p>
        </w:tc>
      </w:tr>
      <w:tr>
        <w:tc>
          <w:tcPr>
            <w:tcW w:type="dxa" w:w="4986"/>
          </w:tcPr>
          <w:p>
            <w:r>
              <w:t>ICMS-ST</w:t>
            </w:r>
          </w:p>
        </w:tc>
        <w:tc>
          <w:tcPr>
            <w:tcW w:type="dxa" w:w="4986"/>
          </w:tcPr>
          <w:p>
            <w:r>
              <w:t>Antecipação das operações subsequentes.</w:t>
            </w:r>
          </w:p>
        </w:tc>
      </w:tr>
      <w:tr>
        <w:tc>
          <w:tcPr>
            <w:tcW w:type="dxa" w:w="4986"/>
          </w:tcPr>
          <w:p>
            <w:r>
              <w:t>IVA-ST</w:t>
            </w:r>
          </w:p>
        </w:tc>
        <w:tc>
          <w:tcPr>
            <w:tcW w:type="dxa" w:w="4986"/>
          </w:tcPr>
          <w:p>
            <w:r>
              <w:t>Margem/valor adicionado setorial.</w:t>
            </w:r>
          </w:p>
        </w:tc>
      </w:tr>
      <w:tr>
        <w:tc>
          <w:tcPr>
            <w:tcW w:type="dxa" w:w="4986"/>
          </w:tcPr>
          <w:p>
            <w:r>
              <w:t>IVA-ST ajustado</w:t>
            </w:r>
          </w:p>
        </w:tc>
        <w:tc>
          <w:tcPr>
            <w:tcW w:type="dxa" w:w="4986"/>
          </w:tcPr>
          <w:p>
            <w:r>
              <w:t>Fórmula específica para a hipótese interestadual.</w:t>
            </w:r>
          </w:p>
        </w:tc>
      </w:tr>
      <w:tr>
        <w:tc>
          <w:tcPr>
            <w:tcW w:type="dxa" w:w="4986"/>
          </w:tcPr>
          <w:p>
            <w:r>
              <w:t>Arbitramento</w:t>
            </w:r>
          </w:p>
        </w:tc>
        <w:tc>
          <w:tcPr>
            <w:tcW w:type="dxa" w:w="4986"/>
          </w:tcPr>
          <w:p>
            <w:r>
              <w:t>4 situações principais.</w:t>
            </w:r>
          </w:p>
        </w:tc>
      </w:tr>
      <w:tr>
        <w:tc>
          <w:tcPr>
            <w:tcW w:type="dxa" w:w="4986"/>
          </w:tcPr>
          <w:p>
            <w:r>
              <w:t>Art. 33</w:t>
            </w:r>
          </w:p>
        </w:tc>
        <w:tc>
          <w:tcPr>
            <w:tcW w:type="dxa" w:w="4986"/>
          </w:tcPr>
          <w:p>
            <w:r>
              <w:t>ICMS integra a própria base.</w:t>
            </w:r>
          </w:p>
        </w:tc>
      </w:tr>
      <w:tr>
        <w:tc>
          <w:tcPr>
            <w:tcW w:type="dxa" w:w="4986"/>
          </w:tcPr>
          <w:p>
            <w:r>
              <w:t>Não incidência</w:t>
            </w:r>
          </w:p>
        </w:tc>
        <w:tc>
          <w:tcPr>
            <w:tcW w:type="dxa" w:w="4986"/>
          </w:tcPr>
          <w:p>
            <w:r>
              <w:t>Memorizar as hipóteses mais cobradas.</w:t>
            </w:r>
          </w:p>
        </w:tc>
      </w:tr>
      <w:tr>
        <w:tc>
          <w:tcPr>
            <w:tcW w:type="dxa" w:w="4986"/>
          </w:tcPr>
          <w:p>
            <w:r>
              <w:t>Alíquotas</w:t>
            </w:r>
          </w:p>
        </w:tc>
        <w:tc>
          <w:tcPr>
            <w:tcW w:type="dxa" w:w="4986"/>
          </w:tcPr>
          <w:p>
            <w:r>
              <w:t>Sempre verificar operação + destino + produto.</w:t>
            </w:r>
          </w:p>
        </w:tc>
      </w:tr>
      <w:tr>
        <w:tc>
          <w:tcPr>
            <w:tcW w:type="dxa" w:w="4986"/>
          </w:tcPr>
          <w:p>
            <w:r>
              <w:t>DIFAL</w:t>
            </w:r>
          </w:p>
        </w:tc>
        <w:tc>
          <w:tcPr>
            <w:tcW w:type="dxa" w:w="4986"/>
          </w:tcPr>
          <w:p>
            <w:r>
              <w:t>Diferença entre alíquota interna e interestadual na hipótese legal.</w:t>
            </w:r>
          </w:p>
        </w:tc>
      </w:tr>
    </w:tbl>
    <w:p>
      <w:pPr>
        <w:pStyle w:val="Heading1"/>
      </w:pPr>
      <w:r>
        <w:t>22. Fonte</w:t>
      </w:r>
    </w:p>
    <w:p>
      <w:r>
        <w:t>Material-base: “Documento sem título (5).docx”, fornecido pelo usuário.</w:t>
      </w:r>
    </w:p>
    <w:p>
      <w:r>
        <w:t>Fonte oficial de referência: Secretaria da Fazenda e Planejamento do Estado de São Paulo — Legislação Tributária.</w:t>
      </w:r>
    </w:p>
    <w:p>
      <w:r>
        <w:t>Observação: o documento original reproduz trechos de diferentes redações históricas da legislação. Este resumo prioriza a estrutura e os conceitos apresentados no material, evitando transformar o conteúdo em uma consolidação legislativa completa.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Tema</w:t>
            </w:r>
          </w:p>
        </w:tc>
        <w:tc>
          <w:tcPr>
            <w:tcW w:type="dxa" w:w="4986"/>
          </w:tcPr>
          <w:p>
            <w:r>
              <w:t>Fórmula / regra</w:t>
            </w:r>
          </w:p>
        </w:tc>
      </w:tr>
      <w:tr>
        <w:tc>
          <w:tcPr>
            <w:tcW w:type="dxa" w:w="4986"/>
          </w:tcPr>
          <w:p>
            <w:r>
              <w:t>Base de cálculo</w:t>
            </w:r>
          </w:p>
        </w:tc>
        <w:tc>
          <w:tcPr>
            <w:tcW w:type="dxa" w:w="4986"/>
          </w:tcPr>
          <w:p>
            <w:r>
              <w:t>BC = valor da operação/prestação</w:t>
            </w:r>
          </w:p>
        </w:tc>
      </w:tr>
      <w:tr>
        <w:tc>
          <w:tcPr>
            <w:tcW w:type="dxa" w:w="4986"/>
          </w:tcPr>
          <w:p>
            <w:r>
              <w:t>ICMS</w:t>
            </w:r>
          </w:p>
        </w:tc>
        <w:tc>
          <w:tcPr>
            <w:tcW w:type="dxa" w:w="4986"/>
          </w:tcPr>
          <w:p>
            <w:r>
              <w:t>ICMS = BC × alíquota</w:t>
            </w:r>
          </w:p>
        </w:tc>
      </w:tr>
      <w:tr>
        <w:tc>
          <w:tcPr>
            <w:tcW w:type="dxa" w:w="4986"/>
          </w:tcPr>
          <w:p>
            <w:r>
              <w:t>ICMS-ST</w:t>
            </w:r>
          </w:p>
        </w:tc>
        <w:tc>
          <w:tcPr>
            <w:tcW w:type="dxa" w:w="4986"/>
          </w:tcPr>
          <w:p>
            <w:r>
              <w:t>ICMS-ST = (BC-ST × alíquota) − ICMS próprio</w:t>
            </w:r>
          </w:p>
        </w:tc>
      </w:tr>
      <w:tr>
        <w:tc>
          <w:tcPr>
            <w:tcW w:type="dxa" w:w="4986"/>
          </w:tcPr>
          <w:p>
            <w:r>
              <w:t>IVA-ST ajustado</w:t>
            </w:r>
          </w:p>
        </w:tc>
        <w:tc>
          <w:tcPr>
            <w:tcW w:type="dxa" w:w="4986"/>
          </w:tcPr>
          <w:p>
            <w:r>
              <w:t>[(1 + IVA-ST) × (1 − ALQ inter)/(1 − ALQ intra)] − 1</w:t>
            </w:r>
          </w:p>
        </w:tc>
      </w:tr>
      <w:tr>
        <w:tc>
          <w:tcPr>
            <w:tcW w:type="dxa" w:w="4986"/>
          </w:tcPr>
          <w:p>
            <w:r>
              <w:t>DIFAL</w:t>
            </w:r>
          </w:p>
        </w:tc>
        <w:tc>
          <w:tcPr>
            <w:tcW w:type="dxa" w:w="4986"/>
          </w:tcPr>
          <w:p>
            <w:r>
              <w:t>Alíquota interna − alíquota interestadual</w:t>
            </w:r>
          </w:p>
        </w:tc>
      </w:tr>
      <w:tr>
        <w:tc>
          <w:tcPr>
            <w:tcW w:type="dxa" w:w="4986"/>
          </w:tcPr>
          <w:p>
            <w:r>
              <w:t>Média ponderada</w:t>
            </w:r>
          </w:p>
        </w:tc>
        <w:tc>
          <w:tcPr>
            <w:tcW w:type="dxa" w:w="4986"/>
          </w:tcPr>
          <w:p>
            <w:r>
              <w:t>Σ(preço × quantidade) / Σ(quantidade)</w:t>
            </w:r>
          </w:p>
        </w:tc>
      </w:tr>
      <w:tr>
        <w:tc>
          <w:tcPr>
            <w:tcW w:type="dxa" w:w="4986"/>
          </w:tcPr>
          <w:p>
            <w:r>
              <w:t>Margem percentual</w:t>
            </w:r>
          </w:p>
        </w:tc>
        <w:tc>
          <w:tcPr>
            <w:tcW w:type="dxa" w:w="4986"/>
          </w:tcPr>
          <w:p>
            <w:r>
              <w:t>[(valor subsequente − valor de referência)/valor de referência] × 100</w:t>
            </w:r>
          </w:p>
        </w:tc>
      </w:tr>
      <w:tr>
        <w:tc>
          <w:tcPr>
            <w:tcW w:type="dxa" w:w="4986"/>
          </w:tcPr>
          <w:p>
            <w:r>
              <w:t>ICMS por dentro</w:t>
            </w:r>
          </w:p>
        </w:tc>
        <w:tc>
          <w:tcPr>
            <w:tcW w:type="dxa" w:w="4986"/>
          </w:tcPr>
          <w:p>
            <w:r>
              <w:t>O próprio ICMS integra a BC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ICMS/SP — Material de estudo resumido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