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239FBCF0" w:rsidR="002B0EDC" w:rsidRPr="00F00926" w:rsidRDefault="00E60F04" w:rsidP="00A83836">
      <w:pPr>
        <w:pStyle w:val="TF-TTULO"/>
      </w:pPr>
      <w:r w:rsidRPr="00E60F04">
        <w:t>Otimização de Portfólios Personalizados com Algoritmo Genético Multiobjetivo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38C4D920" w:rsidR="00A95F54" w:rsidRPr="00C640BB" w:rsidRDefault="00A95F54" w:rsidP="00A95F54">
      <w:pPr>
        <w:pStyle w:val="TF-TEXTO"/>
      </w:pPr>
      <w:r w:rsidRPr="00C640BB">
        <w:lastRenderedPageBreak/>
        <w:t xml:space="preserve">O objetivo deste trabalho é desenvolver um aplicativo capaz de construir portfólios de investimento otimizados </w:t>
      </w:r>
      <w:r w:rsidR="005C201A" w:rsidRPr="005C201A">
        <w:t>de forma personalizada, utilizando técnicas de inteligência artificial baseadas em algoritmo genético multiobjetivo, considerando as preferências e o perfil individual de cada usuário.</w:t>
      </w:r>
      <w:r w:rsidR="005C201A" w:rsidRPr="005C201A">
        <w:rPr>
          <w:szCs w:val="24"/>
        </w:rPr>
        <w:t xml:space="preserve"> </w:t>
      </w:r>
      <w:r w:rsidR="005C201A" w:rsidRPr="005C201A">
        <w:t>Os objetivos específicos são: (i) modelar a estrutura de apresentação dos ativos financeiros e suas restrições dentro do algoritmo, levando em consideração variáveis como perfil de risco, idade, tempo de investimento e capital disponível; (</w:t>
      </w:r>
      <w:proofErr w:type="spellStart"/>
      <w:r w:rsidR="005C201A" w:rsidRPr="005C201A">
        <w:t>ii</w:t>
      </w:r>
      <w:proofErr w:type="spellEnd"/>
      <w:r w:rsidR="005C201A" w:rsidRPr="005C201A">
        <w:t>) definir e implementar uma lógica de avaliação que relacione múltiplos critérios, como risco, retorno e diversificação, conforme os parâmetros informados pelo usuário; (</w:t>
      </w:r>
      <w:proofErr w:type="spellStart"/>
      <w:r w:rsidR="005C201A" w:rsidRPr="005C201A">
        <w:t>iii</w:t>
      </w:r>
      <w:proofErr w:type="spellEnd"/>
      <w:r w:rsidR="005C201A" w:rsidRPr="005C201A">
        <w:t>) testar diferentes configurações do algoritmo genético multiobjetivo para analisar sua capacidade de gerar carteiras personalizadas de forma eficiente; (</w:t>
      </w:r>
      <w:proofErr w:type="spellStart"/>
      <w:r w:rsidR="005C201A" w:rsidRPr="005C201A">
        <w:t>iv</w:t>
      </w:r>
      <w:proofErr w:type="spellEnd"/>
      <w:r w:rsidR="005C201A" w:rsidRPr="005C201A">
        <w:t xml:space="preserve">) validar os resultados obtidos por meio de </w:t>
      </w:r>
      <w:proofErr w:type="spellStart"/>
      <w:r w:rsidR="005C201A" w:rsidRPr="005C201A">
        <w:t>backtesting</w:t>
      </w:r>
      <w:proofErr w:type="spellEnd"/>
      <w:r w:rsidR="005C201A" w:rsidRPr="005C201A">
        <w:t xml:space="preserve"> e comparação com benchmarks do mercado, avaliando sua adequação ao perfil do investidor e sua aplicabilidade prática.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0B38F3E3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</w:t>
      </w:r>
      <w:r w:rsidR="00BF39EE">
        <w:t>diversificação</w:t>
      </w:r>
      <w:r w:rsidRPr="00AA7F63">
        <w:t xml:space="preserve"> de carteiras de investimentos</w:t>
      </w:r>
      <w:r w:rsidR="00BF39EE">
        <w:t xml:space="preserve"> e </w:t>
      </w:r>
      <w:r w:rsidRPr="00AA7F63">
        <w:t>explora os fundamentos matemáticos e evolutivos da Teoria Moderna do Portfólio; a subseção 2.1.</w:t>
      </w:r>
      <w:r w:rsidR="00BF39EE">
        <w:t>2</w:t>
      </w:r>
      <w:r w:rsidRPr="00AA7F63">
        <w:t xml:space="preserve"> traz a definição de algoritmos genéticos multiobjetivos</w:t>
      </w:r>
    </w:p>
    <w:p w14:paraId="79F28176" w14:textId="53C5735D" w:rsidR="00FE7B46" w:rsidRPr="00DA3EC4" w:rsidRDefault="00BF39EE" w:rsidP="00BF39EE">
      <w:pPr>
        <w:pStyle w:val="Ttulo3"/>
      </w:pPr>
      <w:r>
        <w:t xml:space="preserve">Diversificação e </w:t>
      </w:r>
      <w:r w:rsidRPr="00AA7F63">
        <w:t>Teoria Moderna do Portfólio</w:t>
      </w:r>
    </w:p>
    <w:p w14:paraId="675D84E0" w14:textId="54DFBFB4" w:rsidR="00FE7B46" w:rsidRDefault="00FE7B46" w:rsidP="00FE7B46">
      <w:pPr>
        <w:pStyle w:val="TF-TEXTO"/>
      </w:pPr>
      <w:r w:rsidRPr="00DA3EC4">
        <w:t xml:space="preserve"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</w:t>
      </w:r>
      <w:r w:rsidR="004B23B4" w:rsidRPr="003434D1">
        <w:t>Estudos demonstram que carteiras diversificadas podem proporcionar ganhos reais médios de 4-6% ao ano no longo prazo, superando significativamente aplicações convencionais (Elton &amp; Gruber, 1997).</w:t>
      </w:r>
    </w:p>
    <w:p w14:paraId="03BC8A16" w14:textId="122C3854" w:rsidR="00FE7B46" w:rsidRPr="00BF39EE" w:rsidRDefault="00FE7B46" w:rsidP="00BF39EE">
      <w:pPr>
        <w:pStyle w:val="TF-TEXTO"/>
        <w:rPr>
          <w:color w:val="FF0000"/>
        </w:rPr>
      </w:pPr>
      <w:r w:rsidRPr="003434D1">
        <w:lastRenderedPageBreak/>
        <w:t>A eficácia da diversificação pode ser analisada através da matriz de correlação</w:t>
      </w:r>
      <w:r w:rsidR="00690425">
        <w:t xml:space="preserve">, que </w:t>
      </w:r>
      <w:r w:rsidRPr="003434D1">
        <w:t>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="00CC0138" w:rsidRPr="003434D1">
        <w:t>Fabozzi</w:t>
      </w:r>
      <w:proofErr w:type="spellEnd"/>
      <w:r w:rsidR="00CC0138" w:rsidRPr="003434D1">
        <w:t xml:space="preserve"> </w:t>
      </w:r>
      <w:r w:rsidRPr="003434D1">
        <w:t>et al., 2007). A análise dessas correlações permite a construção de carteiras com risco sistemático minimizado, sem comprometer o retorno esperado.</w:t>
      </w:r>
    </w:p>
    <w:p w14:paraId="730A206B" w14:textId="6989F970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 w:rsidR="00BF39EE">
        <w:t>1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60E8B05D" w:rsidR="00FE7B46" w:rsidRPr="00B62CC4" w:rsidRDefault="00FE7B46" w:rsidP="00FE7B46">
      <w:pPr>
        <w:pStyle w:val="TF-LEGENDA"/>
      </w:pPr>
      <w:r w:rsidRPr="00B62CC4">
        <w:t xml:space="preserve">Figura </w:t>
      </w:r>
      <w:r w:rsidR="00BF39EE">
        <w:t>1</w:t>
      </w:r>
      <w:r w:rsidRPr="00B62CC4">
        <w:t xml:space="preserve"> – </w:t>
      </w:r>
      <w:r w:rsidR="00B62CC4" w:rsidRPr="00B62CC4">
        <w:t>Representação gráfica do conjunto de combinações</w:t>
      </w:r>
    </w:p>
    <w:p w14:paraId="6C2CA19F" w14:textId="0A160982" w:rsidR="00FE7B46" w:rsidRPr="001A6EBE" w:rsidRDefault="00B62CC4" w:rsidP="00FE7B46">
      <w:pPr>
        <w:pStyle w:val="TF-FIGURA"/>
        <w:rPr>
          <w:color w:val="FF0000"/>
          <w:highlight w:val="yellow"/>
        </w:rPr>
      </w:pPr>
      <w:r w:rsidRPr="00B62CC4">
        <w:rPr>
          <w:noProof/>
          <w:color w:val="FF0000"/>
        </w:rPr>
        <w:drawing>
          <wp:inline distT="0" distB="0" distL="0" distR="0" wp14:anchorId="0A77774D" wp14:editId="5FE79C3C">
            <wp:extent cx="5760720" cy="3359785"/>
            <wp:effectExtent l="0" t="0" r="0" b="0"/>
            <wp:docPr id="18550851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85158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39278CAC" w:rsidR="00FE7B46" w:rsidRPr="00B62CC4" w:rsidRDefault="00FE7B46" w:rsidP="00FE7B46">
      <w:pPr>
        <w:pStyle w:val="TF-FONTE"/>
      </w:pPr>
      <w:r w:rsidRPr="00B62CC4">
        <w:t>Fonte:</w:t>
      </w:r>
      <w:r w:rsidR="00B62CC4" w:rsidRPr="00B62CC4">
        <w:t xml:space="preserve"> (Assaf Neto, 2008).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 xml:space="preserve">, que considera não apenas a </w:t>
      </w:r>
      <w:r w:rsidRPr="00E32C71">
        <w:lastRenderedPageBreak/>
        <w:t>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2F6C3E04" w14:textId="47E1160C" w:rsidR="00FE7B46" w:rsidRPr="00FA7BD2" w:rsidRDefault="00FE7B46" w:rsidP="000D3E48">
      <w:pPr>
        <w:pStyle w:val="TF-TEXTO"/>
        <w:rPr>
          <w:color w:val="FF0000"/>
        </w:rPr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 xml:space="preserve">, 1996). O cruzamento gera novas soluções combinando características dos indivíduos selecionados, enquanto a mutação introduz variações aleatórias para manter a diversidade genética da população, evitando a convergência prematura (Goldberg, 1989). Com </w:t>
      </w:r>
      <w:r w:rsidRPr="006E14DE">
        <w:lastRenderedPageBreak/>
        <w:t>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51425D59" w:rsidR="00FE7B46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  <w:r w:rsidR="000D3E48">
        <w:t xml:space="preserve"> A figura </w:t>
      </w:r>
      <w:r w:rsidR="00BF39EE">
        <w:t>2</w:t>
      </w:r>
      <w:r w:rsidR="000D3E48">
        <w:t xml:space="preserve"> </w:t>
      </w:r>
      <w:r w:rsidR="000D3E48" w:rsidRPr="000D3E48">
        <w:t xml:space="preserve">Mostra o funcionamento do NSGA-II. </w:t>
      </w:r>
      <w:proofErr w:type="spellStart"/>
      <w:r w:rsidR="000D3E48" w:rsidRPr="000D3E48">
        <w:t>Pt</w:t>
      </w:r>
      <w:proofErr w:type="spellEnd"/>
      <w:r w:rsidR="000D3E48" w:rsidRPr="000D3E48">
        <w:t xml:space="preserve"> é a população dos pais e Qt é a população dos filhos na geração t. F1 são as melhores soluções das populações combinadas (pais e filhos). F2 são as segundas melhores soluções e assim por diante.</w:t>
      </w:r>
    </w:p>
    <w:p w14:paraId="326A0D7D" w14:textId="1E6EFFC4" w:rsidR="000D3E48" w:rsidRPr="000D3E48" w:rsidRDefault="000D3E48" w:rsidP="000D3E48">
      <w:pPr>
        <w:pStyle w:val="TF-LEGENDA"/>
      </w:pPr>
      <w:r w:rsidRPr="000D3E48">
        <w:t xml:space="preserve">Figura </w:t>
      </w:r>
      <w:r w:rsidR="00BF39EE">
        <w:t>2</w:t>
      </w:r>
      <w:r w:rsidRPr="000D3E48">
        <w:t xml:space="preserve"> – Diagrama de fluxo do NSGA-II</w:t>
      </w:r>
    </w:p>
    <w:p w14:paraId="2994329A" w14:textId="4E401B7D" w:rsidR="000D3E48" w:rsidRPr="001A6EBE" w:rsidRDefault="000D3E48" w:rsidP="000D3E48">
      <w:pPr>
        <w:pStyle w:val="TF-FIGURA"/>
        <w:rPr>
          <w:color w:val="FF0000"/>
          <w:highlight w:val="yellow"/>
        </w:rPr>
      </w:pPr>
      <w:r w:rsidRPr="000D3E48">
        <w:rPr>
          <w:noProof/>
          <w:color w:val="FF0000"/>
        </w:rPr>
        <w:drawing>
          <wp:inline distT="0" distB="0" distL="0" distR="0" wp14:anchorId="0C6B65FA" wp14:editId="533D069C">
            <wp:extent cx="5425910" cy="2613887"/>
            <wp:effectExtent l="0" t="0" r="3810" b="0"/>
            <wp:docPr id="750764284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4284" name="Imagem 1" descr="Diagrama, Desenho técn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EA5" w14:textId="6C85EE31" w:rsidR="000D3E48" w:rsidRPr="00FA7BD2" w:rsidRDefault="000D3E48" w:rsidP="000D3E48">
      <w:pPr>
        <w:pStyle w:val="TF-FONTE"/>
        <w:rPr>
          <w:color w:val="FF0000"/>
        </w:rPr>
      </w:pPr>
      <w:r w:rsidRPr="000D3E48">
        <w:t xml:space="preserve">Fonte: </w:t>
      </w:r>
      <w:r w:rsidRPr="006E14DE">
        <w:t xml:space="preserve">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CF6CDFB" w14:textId="77777777" w:rsidR="000D3E48" w:rsidRPr="006E14DE" w:rsidRDefault="000D3E48" w:rsidP="00FE7B46">
      <w:pPr>
        <w:pStyle w:val="TF-TEXTO"/>
      </w:pPr>
    </w:p>
    <w:p w14:paraId="3910F623" w14:textId="77777777" w:rsidR="00196C3A" w:rsidRDefault="00196C3A" w:rsidP="00196C3A">
      <w:pPr>
        <w:pStyle w:val="Ttulo2"/>
      </w:pPr>
      <w:bookmarkStart w:id="10" w:name="_Toc54164921"/>
      <w:bookmarkStart w:id="11" w:name="_Toc54165675"/>
      <w:bookmarkStart w:id="12" w:name="_Toc54169333"/>
      <w:bookmarkStart w:id="13" w:name="_Toc96347439"/>
      <w:bookmarkStart w:id="14" w:name="_Toc96357723"/>
      <w:bookmarkStart w:id="15" w:name="_Toc96491866"/>
      <w:bookmarkStart w:id="16" w:name="_Toc411603107"/>
      <w:bookmarkEnd w:id="9"/>
      <w:r w:rsidRPr="00E93358">
        <w:rPr>
          <w:color w:val="auto"/>
        </w:rPr>
        <w:t>Correlatos</w:t>
      </w:r>
    </w:p>
    <w:p w14:paraId="55A11691" w14:textId="77777777" w:rsidR="007F7B5E" w:rsidRPr="007F7B5E" w:rsidRDefault="007F7B5E" w:rsidP="007F7B5E">
      <w:pPr>
        <w:pStyle w:val="TF-TEXTO"/>
      </w:pPr>
      <w:r w:rsidRPr="007F7B5E">
        <w:t>Para fundamentar o desenvolvimento deste trabalho, realizou-se uma revisão sistemática da literatura, com foco em estudos que aplicam técnicas de inteligência artificial, em especial algoritmos genéticos e modelos de aprendizado de máquina, na construção e personalização de carteiras de investimento. A pesquisa foi conduzida por meio de plataformas acadêmicas e bibliotecas digitais, utilizando filtros relacionados ao tema central deste projeto: a recomendação personalizada de portfólios financeiros com base no perfil do investidor e suas restrições.</w:t>
      </w:r>
    </w:p>
    <w:p w14:paraId="1FEBAF11" w14:textId="77777777" w:rsidR="007F7B5E" w:rsidRPr="007F7B5E" w:rsidRDefault="007F7B5E" w:rsidP="007F7B5E">
      <w:pPr>
        <w:pStyle w:val="TF-TEXTO"/>
      </w:pPr>
      <w:r w:rsidRPr="007F7B5E">
        <w:t xml:space="preserve">Os filtros utilizados nas buscas foram formados pelas combinações: (“algoritmo genético” OR “alocação de portfólio”) AND (“perfil de investidor” OR “recomendação personalizada”) AND (“inteligência artificial” OR “sistema especialista”); (“IA” OR “machine </w:t>
      </w:r>
      <w:r w:rsidRPr="007F7B5E">
        <w:lastRenderedPageBreak/>
        <w:t>learning”) AND (“mercado financeiro” OR “trading”) AND (“tomada de decisão” OR “otimização”).</w:t>
      </w:r>
    </w:p>
    <w:p w14:paraId="5F90007B" w14:textId="77777777" w:rsidR="00196C3A" w:rsidRPr="00E93358" w:rsidRDefault="00196C3A" w:rsidP="00196C3A">
      <w:pPr>
        <w:pStyle w:val="TF-LEGENDA"/>
      </w:pPr>
      <w:bookmarkStart w:id="17" w:name="_Ref52025161"/>
      <w:r w:rsidRPr="00E93358"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Pr="00E93358">
        <w:rPr>
          <w:noProof/>
        </w:rPr>
        <w:t>1</w:t>
      </w:r>
      <w:r>
        <w:rPr>
          <w:noProof/>
        </w:rPr>
        <w:fldChar w:fldCharType="end"/>
      </w:r>
      <w:bookmarkEnd w:id="17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 xml:space="preserve">Inteligência artificial e investimentos: como a IA </w:t>
            </w:r>
            <w:proofErr w:type="gramStart"/>
            <w:r w:rsidRPr="00E93358">
              <w:rPr>
                <w:sz w:val="20"/>
              </w:rPr>
              <w:t>está</w:t>
            </w:r>
            <w:proofErr w:type="gramEnd"/>
            <w:r w:rsidRPr="00E93358">
              <w:rPr>
                <w:sz w:val="20"/>
              </w:rPr>
              <w:t xml:space="preserve"> transformando </w:t>
            </w:r>
            <w:proofErr w:type="gramStart"/>
            <w:r w:rsidRPr="00E93358">
              <w:rPr>
                <w:sz w:val="20"/>
              </w:rPr>
              <w:t>o trading</w:t>
            </w:r>
            <w:proofErr w:type="gramEnd"/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</w:t>
            </w:r>
            <w:proofErr w:type="spellStart"/>
            <w:r w:rsidRPr="00E93358">
              <w:rPr>
                <w:sz w:val="20"/>
                <w:lang w:val="en-US"/>
              </w:rPr>
              <w:t>inteligência</w:t>
            </w:r>
            <w:proofErr w:type="spellEnd"/>
            <w:r w:rsidRPr="00E93358">
              <w:rPr>
                <w:sz w:val="20"/>
                <w:lang w:val="en-US"/>
              </w:rPr>
              <w:t xml:space="preserve"> artificial" AND "trading" AND “</w:t>
            </w:r>
            <w:proofErr w:type="spellStart"/>
            <w:r w:rsidRPr="00E93358">
              <w:rPr>
                <w:sz w:val="20"/>
                <w:lang w:val="en-US"/>
              </w:rPr>
              <w:t>investimentos</w:t>
            </w:r>
            <w:proofErr w:type="spellEnd"/>
            <w:r w:rsidRPr="00E93358">
              <w:rPr>
                <w:sz w:val="20"/>
                <w:lang w:val="en-US"/>
              </w:rPr>
              <w:t>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 xml:space="preserve">Investing.com </w:t>
            </w:r>
            <w:proofErr w:type="spellStart"/>
            <w:r w:rsidRPr="00E93358">
              <w:rPr>
                <w:sz w:val="20"/>
              </w:rPr>
              <w:t>Academy</w:t>
            </w:r>
            <w:proofErr w:type="spellEnd"/>
            <w:r w:rsidRPr="00E93358">
              <w:rPr>
                <w:sz w:val="20"/>
              </w:rPr>
              <w:t xml:space="preserve">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8CD40B0" w14:textId="77777777" w:rsidR="007F7B5E" w:rsidRPr="007F7B5E" w:rsidRDefault="007F7B5E" w:rsidP="007F7B5E">
      <w:pPr>
        <w:pStyle w:val="TF-TEXTO"/>
      </w:pPr>
      <w:r w:rsidRPr="007F7B5E">
        <w:t>Os trabalhos apresentados no Quadro 1 foram selecionados por abordarem, direta ou indiretamente, os principais elementos que compõem a proposta deste projeto: algoritmos genéticos, recomendação personalizada de investimentos e o uso de inteligência artificial na tomada de decisões financeiras.</w:t>
      </w:r>
    </w:p>
    <w:p w14:paraId="05377762" w14:textId="77777777" w:rsidR="007F7B5E" w:rsidRPr="007F7B5E" w:rsidRDefault="007F7B5E" w:rsidP="007F7B5E">
      <w:pPr>
        <w:pStyle w:val="TF-TEXTO"/>
      </w:pPr>
      <w:r w:rsidRPr="007F7B5E">
        <w:t>O estudo da UFMS (2021) traz uma aplicação prática de algoritmos genéticos na construção de portfólios, abordando a otimização multiobjetivo com base em critérios como retorno esperado e risco associado. O trabalho demonstra, por meio de simulações reais, como essa abordagem pode superar os métodos tradicionais baseados na Teoria Moderna do Portfólio, fornecendo subsídios técnicos para a implementação do componente de otimização deste projeto.</w:t>
      </w:r>
    </w:p>
    <w:p w14:paraId="3BEB9D1B" w14:textId="77777777" w:rsidR="007F7B5E" w:rsidRPr="007F7B5E" w:rsidRDefault="007F7B5E" w:rsidP="007F7B5E">
      <w:pPr>
        <w:pStyle w:val="TF-TEXTO"/>
      </w:pPr>
      <w:r w:rsidRPr="007F7B5E">
        <w:t>O TCC de Garcez (2022) investiga o uso de IA na recomendação de investimentos a partir de uma análise do perfil do investidor. A proposta do autor de utilizar um sistema especialista para sugerir alocações com base na tolerância ao risco, idade e horizonte de investimento é bastante similar à proposta deste trabalho. Essa semelhança fortalece o embasamento teórico da etapa de entrada e perfilamento de usuário do nosso sistema.</w:t>
      </w:r>
    </w:p>
    <w:p w14:paraId="58F6D89E" w14:textId="77777777" w:rsidR="007F7B5E" w:rsidRPr="007F7B5E" w:rsidRDefault="007F7B5E" w:rsidP="007F7B5E">
      <w:pPr>
        <w:pStyle w:val="TF-TEXTO"/>
      </w:pPr>
      <w:r w:rsidRPr="007F7B5E">
        <w:t>A obra da AYA Editora (2023) fornece uma revisão teórico-prática abrangente sobre os conceitos centrais da IA no mercado financeiro, além de abordar os desafios éticos e computacionais envolvidos na criação de assistentes financeiros inteligentes. Ela contribui para o entendimento da complexidade que envolve o uso de IA no ambiente real e serve de guia para as boas práticas na construção de soluções com responsabilidade algorítmica.</w:t>
      </w:r>
    </w:p>
    <w:p w14:paraId="10E10E00" w14:textId="77777777" w:rsidR="007F7B5E" w:rsidRPr="007F7B5E" w:rsidRDefault="007F7B5E" w:rsidP="007F7B5E">
      <w:pPr>
        <w:pStyle w:val="TF-TEXTO"/>
      </w:pPr>
      <w:r w:rsidRPr="007F7B5E">
        <w:t xml:space="preserve">Já o artigo da Investing.com </w:t>
      </w:r>
      <w:proofErr w:type="spellStart"/>
      <w:r w:rsidRPr="007F7B5E">
        <w:t>Academy</w:t>
      </w:r>
      <w:proofErr w:type="spellEnd"/>
      <w:r w:rsidRPr="007F7B5E">
        <w:t xml:space="preserve"> (2024) ilustra com exemplos reais como a IA vem sendo utilizada em plataformas de trading automatizado, desde a previsão de movimentos </w:t>
      </w:r>
      <w:r w:rsidRPr="007F7B5E">
        <w:lastRenderedPageBreak/>
        <w:t>de preços até a execução de ordens com base em estratégias otimizadas. Essa referência fornece suporte conceitual e atual ao aspecto técnico do projeto, especialmente nas fases de avaliação de carteiras geradas e simulação de cenários econômicos.</w:t>
      </w:r>
    </w:p>
    <w:p w14:paraId="24E2DF5B" w14:textId="77777777" w:rsidR="007F7B5E" w:rsidRPr="007F7B5E" w:rsidRDefault="007F7B5E" w:rsidP="007F7B5E">
      <w:pPr>
        <w:pStyle w:val="TF-TEXTO"/>
      </w:pPr>
      <w:r w:rsidRPr="007F7B5E">
        <w:t>Por fim, o trabalho de Públio (2022) analisa de maneira crítica como a inteligência artificial pode ser incorporada nos processos decisórios do mercado de capitais, especialmente no que diz respeito à racionalidade algorítmica e à mitigação de vieses comportamentais. O estudo reforça a importância da IA na neutralização de fatores subjetivos, característica fundamental para o objetivo do nosso sistema de gerar recomendações imparciais e baseadas em dados.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2ADF7A56" w14:textId="79AE001C" w:rsidR="00A92F37" w:rsidRPr="00A92F37" w:rsidRDefault="00442285" w:rsidP="00A92F37">
      <w:pPr>
        <w:pStyle w:val="TF-TEXTO"/>
      </w:pPr>
      <w:r w:rsidRPr="00442285">
        <w:t xml:space="preserve">O </w:t>
      </w:r>
      <w:proofErr w:type="spellStart"/>
      <w:r w:rsidRPr="00442285">
        <w:t>t͏raba͏lho</w:t>
      </w:r>
      <w:proofErr w:type="spellEnd"/>
      <w:r w:rsidRPr="00442285">
        <w:t xml:space="preserve"> </w:t>
      </w:r>
      <w:proofErr w:type="spellStart"/>
      <w:r w:rsidRPr="00442285">
        <w:t>a͏qui</w:t>
      </w:r>
      <w:proofErr w:type="spellEnd"/>
      <w:r w:rsidRPr="00442285">
        <w:t xml:space="preserve"> proposto </w:t>
      </w:r>
      <w:proofErr w:type="spellStart"/>
      <w:r w:rsidRPr="00442285">
        <w:t>t͏em</w:t>
      </w:r>
      <w:proofErr w:type="spellEnd"/>
      <w:r w:rsidRPr="00442285">
        <w:t xml:space="preserve"> o </w:t>
      </w:r>
      <w:proofErr w:type="spellStart"/>
      <w:r w:rsidRPr="00442285">
        <w:t>obje͏tivo</w:t>
      </w:r>
      <w:proofErr w:type="spellEnd"/>
      <w:r w:rsidRPr="00442285">
        <w:t xml:space="preserve"> de ajudar na personalização das estratégias de investimento, oferecendo uma solução </w:t>
      </w:r>
      <w:proofErr w:type="spellStart"/>
      <w:r w:rsidRPr="00442285">
        <w:t>tecnol͏ógica</w:t>
      </w:r>
      <w:proofErr w:type="spellEnd"/>
      <w:r w:rsidRPr="00442285">
        <w:t xml:space="preserve"> baseada </w:t>
      </w:r>
      <w:proofErr w:type="spellStart"/>
      <w:r w:rsidRPr="00442285">
        <w:t>e͏m</w:t>
      </w:r>
      <w:proofErr w:type="spellEnd"/>
      <w:r w:rsidRPr="00442285">
        <w:t xml:space="preserve"> inteligência artificial que </w:t>
      </w:r>
      <w:proofErr w:type="spellStart"/>
      <w:r w:rsidRPr="00442285">
        <w:t>p͏er͏mite</w:t>
      </w:r>
      <w:proofErr w:type="spellEnd"/>
      <w:r w:rsidRPr="00442285">
        <w:t xml:space="preserve"> a construção ͏autônoma de portfólios de investimento ajustados às </w:t>
      </w:r>
      <w:proofErr w:type="spellStart"/>
      <w:r w:rsidRPr="00442285">
        <w:t>ca͏racterísticas</w:t>
      </w:r>
      <w:proofErr w:type="spellEnd"/>
      <w:r w:rsidRPr="00442285">
        <w:t xml:space="preserve"> </w:t>
      </w:r>
      <w:proofErr w:type="spellStart"/>
      <w:r w:rsidRPr="00442285">
        <w:t>individua͏is</w:t>
      </w:r>
      <w:proofErr w:type="spellEnd"/>
      <w:r w:rsidRPr="00442285">
        <w:t xml:space="preserve"> de͏ cada uso. Com a crescente complexidade do mercado financeiro e o </w:t>
      </w:r>
      <w:proofErr w:type="spellStart"/>
      <w:r w:rsidRPr="00442285">
        <w:t>v͏olume</w:t>
      </w:r>
      <w:proofErr w:type="spellEnd"/>
      <w:r w:rsidRPr="00442285">
        <w:t xml:space="preserve"> de informação </w:t>
      </w:r>
      <w:proofErr w:type="spellStart"/>
      <w:r w:rsidRPr="00442285">
        <w:t>qu͏e</w:t>
      </w:r>
      <w:proofErr w:type="spellEnd"/>
      <w:r w:rsidRPr="00442285">
        <w:t xml:space="preserve"> existe fica͏ cada vez mais </w:t>
      </w:r>
      <w:proofErr w:type="spellStart"/>
      <w:r w:rsidRPr="00442285">
        <w:t>di͏f͏ícil</w:t>
      </w:r>
      <w:proofErr w:type="spellEnd"/>
      <w:r w:rsidRPr="00442285">
        <w:t xml:space="preserve"> os investidores, principalmente os que </w:t>
      </w:r>
      <w:proofErr w:type="spellStart"/>
      <w:r w:rsidRPr="00442285">
        <w:t>estã͏o</w:t>
      </w:r>
      <w:proofErr w:type="spellEnd"/>
      <w:r w:rsidRPr="00442285">
        <w:t xml:space="preserve"> </w:t>
      </w:r>
      <w:proofErr w:type="spellStart"/>
      <w:r w:rsidRPr="00442285">
        <w:t>começand͏o</w:t>
      </w:r>
      <w:proofErr w:type="spellEnd"/>
      <w:r w:rsidRPr="00442285">
        <w:t xml:space="preserve">, tomarem decisões bem fundamentadas sem ajuda ferramentas analíticas fortes. ͏Nesse </w:t>
      </w:r>
      <w:proofErr w:type="spellStart"/>
      <w:r w:rsidRPr="00442285">
        <w:t>co͏ntex͏to</w:t>
      </w:r>
      <w:proofErr w:type="spellEnd"/>
      <w:r w:rsidRPr="00442285">
        <w:t xml:space="preserve"> ͏a </w:t>
      </w:r>
      <w:proofErr w:type="spellStart"/>
      <w:r w:rsidRPr="00442285">
        <w:t>pro͏posta</w:t>
      </w:r>
      <w:proofErr w:type="spellEnd"/>
      <w:r w:rsidRPr="00442285">
        <w:t xml:space="preserve"> deste </w:t>
      </w:r>
      <w:proofErr w:type="spellStart"/>
      <w:r w:rsidRPr="00442285">
        <w:t>tra͏balho</w:t>
      </w:r>
      <w:proofErr w:type="spellEnd"/>
      <w:r w:rsidRPr="00442285">
        <w:t xml:space="preserve"> ͏é criar ͏um sistema inteligente que pode sugerir alocações </w:t>
      </w:r>
      <w:proofErr w:type="spellStart"/>
      <w:r w:rsidRPr="00442285">
        <w:t>otimizada͏s</w:t>
      </w:r>
      <w:proofErr w:type="spellEnd"/>
      <w:r w:rsidRPr="00442285">
        <w:t xml:space="preserve"> ativos </w:t>
      </w:r>
      <w:proofErr w:type="spellStart"/>
      <w:r w:rsidRPr="00442285">
        <w:t>ba͏se</w:t>
      </w:r>
      <w:proofErr w:type="spellEnd"/>
      <w:r w:rsidRPr="00442285">
        <w:t xml:space="preserve"> ͏em critérios </w:t>
      </w:r>
      <w:proofErr w:type="spellStart"/>
      <w:r w:rsidRPr="00442285">
        <w:t>c͏omo</w:t>
      </w:r>
      <w:proofErr w:type="spellEnd"/>
      <w:r w:rsidRPr="00442285">
        <w:t xml:space="preserve"> perfil͏ de risco idade </w:t>
      </w:r>
      <w:proofErr w:type="spellStart"/>
      <w:r w:rsidRPr="00442285">
        <w:t>p͏r͏eferências</w:t>
      </w:r>
      <w:proofErr w:type="spellEnd"/>
      <w:r w:rsidRPr="00442285">
        <w:t xml:space="preserve"> do setor e </w:t>
      </w:r>
      <w:proofErr w:type="spellStart"/>
      <w:r w:rsidRPr="00442285">
        <w:t>o͏bjetivos</w:t>
      </w:r>
      <w:proofErr w:type="spellEnd"/>
      <w:r w:rsidRPr="00442285">
        <w:t xml:space="preserve"> </w:t>
      </w:r>
      <w:proofErr w:type="gramStart"/>
      <w:r w:rsidRPr="00442285">
        <w:t>financeiros longo prazo</w:t>
      </w:r>
      <w:proofErr w:type="gramEnd"/>
      <w:r w:rsidR="00A92F37" w:rsidRPr="00A92F37">
        <w:t>.</w:t>
      </w:r>
    </w:p>
    <w:p w14:paraId="5A64FE25" w14:textId="77777777" w:rsidR="00A92F37" w:rsidRPr="00A92F37" w:rsidRDefault="00A92F37" w:rsidP="00A92F37">
      <w:pPr>
        <w:pStyle w:val="TF-TEXTO"/>
      </w:pPr>
      <w:r w:rsidRPr="00A92F37">
        <w:t>A base teórica para este trabalho encontra-se fundamentada nas abordagens tradicionais de construção de carteiras, como a Teoria Moderna do Portfólio (Markowitz, 1952), e nas evoluções contemporâneas representadas pelos Algoritmos Genéticos Multiobjetivo (</w:t>
      </w:r>
      <w:proofErr w:type="spellStart"/>
      <w:r w:rsidRPr="00A92F37">
        <w:t>AGMOs</w:t>
      </w:r>
      <w:proofErr w:type="spellEnd"/>
      <w:r w:rsidRPr="00A92F37">
        <w:t xml:space="preserve">), que permitem tratar simultaneamente múltiplos critérios de decisão, como retorno, risco e diversificação. Conforme discutido nas subseções 2.1.1 a 2.1.3, os </w:t>
      </w:r>
      <w:proofErr w:type="spellStart"/>
      <w:r w:rsidRPr="00A92F37">
        <w:t>AGMOs</w:t>
      </w:r>
      <w:proofErr w:type="spellEnd"/>
      <w:r w:rsidRPr="00A92F37">
        <w:t xml:space="preserve"> oferecem uma abordagem mais flexível e adaptável às necessidades dos investidores modernos, especialmente quando combinados com redes neurais artificiais para estimativa de retorno. Essa estrutura híbrida, baseada em técnicas evolutivas e aprendizado de máquina, fornece uma base metodológica robusta para o desenvolvimento de soluções inteligentes de recomendação financeira.</w:t>
      </w:r>
    </w:p>
    <w:p w14:paraId="6F76C787" w14:textId="77777777" w:rsidR="00A92F37" w:rsidRPr="00A92F37" w:rsidRDefault="00A92F37" w:rsidP="00A92F37">
      <w:pPr>
        <w:pStyle w:val="TF-TEXTO"/>
      </w:pPr>
      <w:r w:rsidRPr="00A92F37">
        <w:t xml:space="preserve">A proposta está alinhada com o eixo de Engenharia de Dados e Informação, uma vez que envolve o uso intensivo de dados financeiros históricos, métodos computacionais de otimização e ferramentas de análise preditiva para gerar soluções orientadas por dados. Além disso, trata-se de um projeto com caráter inovador, pois propõe a criação de um sistema capaz de gerar recomendações personalizadas com base em múltiplos inputs do usuário, considerando </w:t>
      </w:r>
      <w:r w:rsidRPr="00A92F37">
        <w:lastRenderedPageBreak/>
        <w:t xml:space="preserve">diferentes classes de ativos (ações, renda fixa, fundos imobiliários) e preferências de alocação. Espera-se que o </w:t>
      </w:r>
      <w:proofErr w:type="gramStart"/>
      <w:r w:rsidRPr="00A92F37">
        <w:t>resultado final</w:t>
      </w:r>
      <w:proofErr w:type="gramEnd"/>
      <w:r w:rsidRPr="00A92F37">
        <w:t xml:space="preserve"> proporcione maior autonomia e segurança na tomada de decisão por parte dos investidores, contribuindo para a inclusão digital e a educação financeira no contexto atual.</w:t>
      </w:r>
    </w:p>
    <w:p w14:paraId="71A80222" w14:textId="77777777" w:rsidR="00A92F37" w:rsidRPr="001A6EBE" w:rsidRDefault="00A92F37" w:rsidP="007207F2">
      <w:pPr>
        <w:pStyle w:val="TF-TEXTO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Elicitação dos requisitos do sistema: definir os requisitos funcionais e não funcionais da aplicação, com foco na personalização da carteira. A IA deverá permitir que o 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 xml:space="preserve"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</w:t>
      </w:r>
      <w:r w:rsidRPr="008856F5">
        <w:lastRenderedPageBreak/>
        <w:t>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>, utilizando dados 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18" w:name="_Toc351015602"/>
      <w:bookmarkEnd w:id="10"/>
      <w:bookmarkEnd w:id="11"/>
      <w:bookmarkEnd w:id="12"/>
      <w:bookmarkEnd w:id="13"/>
      <w:bookmarkEnd w:id="14"/>
      <w:bookmarkEnd w:id="15"/>
      <w:bookmarkEnd w:id="16"/>
      <w:r>
        <w:t>Referências</w:t>
      </w:r>
      <w:bookmarkEnd w:id="18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lastRenderedPageBreak/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p w14:paraId="2EDE5641" w14:textId="6A3CC756" w:rsidR="001A7318" w:rsidRDefault="001A7318" w:rsidP="00634273">
      <w:pPr>
        <w:pStyle w:val="TF-TEXTO"/>
        <w:numPr>
          <w:ilvl w:val="0"/>
          <w:numId w:val="23"/>
        </w:numPr>
      </w:pPr>
      <w:r>
        <w:t>-----</w:t>
      </w:r>
    </w:p>
    <w:p w14:paraId="41F68D65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rPr>
          <w:lang w:val="en-US"/>
        </w:rPr>
        <w:t xml:space="preserve">Coello </w:t>
      </w:r>
      <w:proofErr w:type="spellStart"/>
      <w:r w:rsidRPr="001A7318">
        <w:rPr>
          <w:lang w:val="en-US"/>
        </w:rPr>
        <w:t>Coello</w:t>
      </w:r>
      <w:proofErr w:type="spellEnd"/>
      <w:r w:rsidRPr="001A7318">
        <w:rPr>
          <w:lang w:val="en-US"/>
        </w:rPr>
        <w:t xml:space="preserve">, C. A., Lamont, G. B., &amp; Van Veldhuizen, D. A. (2007). Evolutionary Algorithms for Solving Multi-Objective Problems. </w:t>
      </w:r>
      <w:r w:rsidRPr="001A7318">
        <w:t>Springer.</w:t>
      </w:r>
    </w:p>
    <w:p w14:paraId="2A9B4438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rPr>
          <w:lang w:val="en-US"/>
        </w:rPr>
        <w:t xml:space="preserve">Darwin, C. (1859). On the Origin of Species. </w:t>
      </w:r>
      <w:r w:rsidRPr="001A7318">
        <w:t>John Murray.</w:t>
      </w:r>
    </w:p>
    <w:p w14:paraId="2194DABB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rPr>
          <w:lang w:val="en-US"/>
        </w:rPr>
        <w:t xml:space="preserve">Deb, K., Pratap, A., Agarwal, S., &amp; </w:t>
      </w:r>
      <w:proofErr w:type="spellStart"/>
      <w:r w:rsidRPr="001A7318">
        <w:rPr>
          <w:lang w:val="en-US"/>
        </w:rPr>
        <w:t>Meyarivan</w:t>
      </w:r>
      <w:proofErr w:type="spellEnd"/>
      <w:r w:rsidRPr="001A7318">
        <w:rPr>
          <w:lang w:val="en-US"/>
        </w:rPr>
        <w:t xml:space="preserve">, T. (2002). A fast and elitist </w:t>
      </w:r>
      <w:proofErr w:type="spellStart"/>
      <w:r w:rsidRPr="001A7318">
        <w:rPr>
          <w:lang w:val="en-US"/>
        </w:rPr>
        <w:t>multiobjective</w:t>
      </w:r>
      <w:proofErr w:type="spellEnd"/>
      <w:r w:rsidRPr="001A7318">
        <w:rPr>
          <w:lang w:val="en-US"/>
        </w:rPr>
        <w:t xml:space="preserve"> genetic algorithm: NSGA-II. </w:t>
      </w:r>
      <w:r w:rsidRPr="001A7318">
        <w:t xml:space="preserve">IEEE </w:t>
      </w:r>
      <w:proofErr w:type="spellStart"/>
      <w:r w:rsidRPr="001A7318">
        <w:t>Transactions</w:t>
      </w:r>
      <w:proofErr w:type="spellEnd"/>
      <w:r w:rsidRPr="001A7318">
        <w:t xml:space="preserve"> </w:t>
      </w:r>
      <w:proofErr w:type="spellStart"/>
      <w:r w:rsidRPr="001A7318">
        <w:t>on</w:t>
      </w:r>
      <w:proofErr w:type="spellEnd"/>
      <w:r w:rsidRPr="001A7318">
        <w:t xml:space="preserve"> </w:t>
      </w:r>
      <w:proofErr w:type="spellStart"/>
      <w:r w:rsidRPr="001A7318">
        <w:t>Evolutionary</w:t>
      </w:r>
      <w:proofErr w:type="spellEnd"/>
      <w:r w:rsidRPr="001A7318">
        <w:t xml:space="preserve"> </w:t>
      </w:r>
      <w:proofErr w:type="spellStart"/>
      <w:r w:rsidRPr="001A7318">
        <w:t>Computation</w:t>
      </w:r>
      <w:proofErr w:type="spellEnd"/>
      <w:r w:rsidRPr="001A7318">
        <w:t>, 6(2), 182-197.</w:t>
      </w:r>
    </w:p>
    <w:p w14:paraId="66980F39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rPr>
          <w:lang w:val="en-US"/>
        </w:rPr>
        <w:t xml:space="preserve">Goldberg, D. E. (1989). Genetic Algorithms in Search, Optimization and Machine Learning. </w:t>
      </w:r>
      <w:r w:rsidRPr="001A7318">
        <w:t>Addison-Wesley.</w:t>
      </w:r>
    </w:p>
    <w:p w14:paraId="728CEEFF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rPr>
          <w:lang w:val="en-US"/>
        </w:rPr>
        <w:t xml:space="preserve">Michalewicz, Z. (1996). Genetic Algorithms + Data Structures = Evolution Programs. </w:t>
      </w:r>
      <w:r w:rsidRPr="001A7318">
        <w:t>Springer.</w:t>
      </w:r>
    </w:p>
    <w:p w14:paraId="23B99F0E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r w:rsidRPr="001A7318">
        <w:t xml:space="preserve">Pareto, V. (1906). </w:t>
      </w:r>
      <w:proofErr w:type="spellStart"/>
      <w:r w:rsidRPr="001A7318">
        <w:t>Manuale</w:t>
      </w:r>
      <w:proofErr w:type="spellEnd"/>
      <w:r w:rsidRPr="001A7318">
        <w:t xml:space="preserve"> </w:t>
      </w:r>
      <w:proofErr w:type="spellStart"/>
      <w:r w:rsidRPr="001A7318">
        <w:t>di</w:t>
      </w:r>
      <w:proofErr w:type="spellEnd"/>
      <w:r w:rsidRPr="001A7318">
        <w:t xml:space="preserve"> Economia </w:t>
      </w:r>
      <w:proofErr w:type="spellStart"/>
      <w:proofErr w:type="gramStart"/>
      <w:r w:rsidRPr="001A7318">
        <w:t>Politica</w:t>
      </w:r>
      <w:proofErr w:type="spellEnd"/>
      <w:proofErr w:type="gramEnd"/>
      <w:r w:rsidRPr="001A7318">
        <w:t xml:space="preserve">. </w:t>
      </w:r>
      <w:proofErr w:type="spellStart"/>
      <w:r w:rsidRPr="001A7318">
        <w:t>Società</w:t>
      </w:r>
      <w:proofErr w:type="spellEnd"/>
      <w:r w:rsidRPr="001A7318">
        <w:t xml:space="preserve"> </w:t>
      </w:r>
      <w:proofErr w:type="spellStart"/>
      <w:r w:rsidRPr="001A7318">
        <w:t>Editrice</w:t>
      </w:r>
      <w:proofErr w:type="spellEnd"/>
      <w:r w:rsidRPr="001A7318">
        <w:t>.</w:t>
      </w:r>
    </w:p>
    <w:p w14:paraId="23179DA6" w14:textId="77777777" w:rsidR="001A7318" w:rsidRPr="001A7318" w:rsidRDefault="001A7318" w:rsidP="001A7318">
      <w:pPr>
        <w:pStyle w:val="TF-TEXTO"/>
        <w:numPr>
          <w:ilvl w:val="0"/>
          <w:numId w:val="23"/>
        </w:numPr>
      </w:pPr>
      <w:proofErr w:type="spellStart"/>
      <w:r w:rsidRPr="001A7318">
        <w:rPr>
          <w:lang w:val="en-US"/>
        </w:rPr>
        <w:t>Zitzler</w:t>
      </w:r>
      <w:proofErr w:type="spellEnd"/>
      <w:r w:rsidRPr="001A7318">
        <w:rPr>
          <w:lang w:val="en-US"/>
        </w:rPr>
        <w:t xml:space="preserve">, E., &amp; Thiele, L. (1999). </w:t>
      </w:r>
      <w:proofErr w:type="spellStart"/>
      <w:r w:rsidRPr="001A7318">
        <w:rPr>
          <w:lang w:val="en-US"/>
        </w:rPr>
        <w:t>Multiobjective</w:t>
      </w:r>
      <w:proofErr w:type="spellEnd"/>
      <w:r w:rsidRPr="001A7318">
        <w:rPr>
          <w:lang w:val="en-US"/>
        </w:rPr>
        <w:t xml:space="preserve"> evolutionary algorithms: A comparative case study and the strength Pareto approach. </w:t>
      </w:r>
      <w:r w:rsidRPr="001A7318">
        <w:t xml:space="preserve">IEEE </w:t>
      </w:r>
      <w:proofErr w:type="spellStart"/>
      <w:r w:rsidRPr="001A7318">
        <w:t>Transactions</w:t>
      </w:r>
      <w:proofErr w:type="spellEnd"/>
      <w:r w:rsidRPr="001A7318">
        <w:t xml:space="preserve"> </w:t>
      </w:r>
      <w:proofErr w:type="spellStart"/>
      <w:r w:rsidRPr="001A7318">
        <w:t>on</w:t>
      </w:r>
      <w:proofErr w:type="spellEnd"/>
      <w:r w:rsidRPr="001A7318">
        <w:t xml:space="preserve"> </w:t>
      </w:r>
      <w:proofErr w:type="spellStart"/>
      <w:r w:rsidRPr="001A7318">
        <w:t>Evolutionary</w:t>
      </w:r>
      <w:proofErr w:type="spellEnd"/>
      <w:r w:rsidRPr="001A7318">
        <w:t xml:space="preserve"> </w:t>
      </w:r>
      <w:proofErr w:type="spellStart"/>
      <w:r w:rsidRPr="001A7318">
        <w:t>Computation</w:t>
      </w:r>
      <w:proofErr w:type="spellEnd"/>
      <w:r w:rsidRPr="001A7318">
        <w:t>, 3(4), 257-271.</w:t>
      </w:r>
    </w:p>
    <w:p w14:paraId="51CA6D75" w14:textId="5E84921E" w:rsidR="001A7318" w:rsidRDefault="001A7318" w:rsidP="00634273">
      <w:pPr>
        <w:pStyle w:val="TF-TEXTO"/>
        <w:numPr>
          <w:ilvl w:val="0"/>
          <w:numId w:val="23"/>
        </w:numPr>
      </w:pPr>
      <w:r w:rsidRPr="001A7318">
        <w:t>ASSAF NETO, Alexandre. Mercado Financeiro. 2008, p. 228.</w:t>
      </w:r>
    </w:p>
    <w:p w14:paraId="3B3561F7" w14:textId="77777777" w:rsidR="001A7318" w:rsidRDefault="001A7318" w:rsidP="001A7318">
      <w:pPr>
        <w:pStyle w:val="TF-TEXTO"/>
      </w:pPr>
    </w:p>
    <w:p w14:paraId="281B3EA2" w14:textId="77777777" w:rsidR="001A7318" w:rsidRPr="00A95F54" w:rsidRDefault="001A7318" w:rsidP="001A7318">
      <w:pPr>
        <w:pStyle w:val="TF-TEXTO"/>
      </w:pPr>
    </w:p>
    <w:sectPr w:rsidR="001A7318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B88AE" w14:textId="77777777" w:rsidR="00856475" w:rsidRDefault="00856475">
      <w:r>
        <w:separator/>
      </w:r>
    </w:p>
  </w:endnote>
  <w:endnote w:type="continuationSeparator" w:id="0">
    <w:p w14:paraId="3F17683D" w14:textId="77777777" w:rsidR="00856475" w:rsidRDefault="0085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A84EE" w14:textId="77777777" w:rsidR="00856475" w:rsidRDefault="00856475">
      <w:r>
        <w:separator/>
      </w:r>
    </w:p>
  </w:footnote>
  <w:footnote w:type="continuationSeparator" w:id="0">
    <w:p w14:paraId="28436ACC" w14:textId="77777777" w:rsidR="00856475" w:rsidRDefault="00856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574B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3E48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318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2651"/>
    <w:rsid w:val="00344540"/>
    <w:rsid w:val="003519A3"/>
    <w:rsid w:val="00362443"/>
    <w:rsid w:val="0037046F"/>
    <w:rsid w:val="00376163"/>
    <w:rsid w:val="003767E9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2285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A7909"/>
    <w:rsid w:val="004B23B4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01A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47A39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0425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7EA"/>
    <w:rsid w:val="0077580B"/>
    <w:rsid w:val="00781167"/>
    <w:rsid w:val="007854B3"/>
    <w:rsid w:val="0078787D"/>
    <w:rsid w:val="00787FA8"/>
    <w:rsid w:val="00792FD1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7F7B5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6475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2F37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AF7B27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23913"/>
    <w:rsid w:val="00B37046"/>
    <w:rsid w:val="00B42041"/>
    <w:rsid w:val="00B43FBF"/>
    <w:rsid w:val="00B44F11"/>
    <w:rsid w:val="00B51846"/>
    <w:rsid w:val="00B53534"/>
    <w:rsid w:val="00B62979"/>
    <w:rsid w:val="00B62CC4"/>
    <w:rsid w:val="00B70056"/>
    <w:rsid w:val="00B70D53"/>
    <w:rsid w:val="00B823A7"/>
    <w:rsid w:val="00B90FA5"/>
    <w:rsid w:val="00B919F1"/>
    <w:rsid w:val="00BA2260"/>
    <w:rsid w:val="00BB468D"/>
    <w:rsid w:val="00BC0E8D"/>
    <w:rsid w:val="00BC3077"/>
    <w:rsid w:val="00BC4F18"/>
    <w:rsid w:val="00BE6551"/>
    <w:rsid w:val="00BF093B"/>
    <w:rsid w:val="00BF39EE"/>
    <w:rsid w:val="00C00B88"/>
    <w:rsid w:val="00C06B2A"/>
    <w:rsid w:val="00C06E17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0138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105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2833"/>
    <w:rsid w:val="00E32F38"/>
    <w:rsid w:val="00E36D82"/>
    <w:rsid w:val="00E460B9"/>
    <w:rsid w:val="00E51601"/>
    <w:rsid w:val="00E51965"/>
    <w:rsid w:val="00E60F04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EF6DE0"/>
    <w:rsid w:val="00F00926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1F7E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  <w:style w:type="character" w:styleId="Forte">
    <w:name w:val="Strong"/>
    <w:basedOn w:val="Fontepargpadro"/>
    <w:uiPriority w:val="22"/>
    <w:qFormat/>
    <w:rsid w:val="007F7B5E"/>
    <w:rPr>
      <w:b/>
      <w:bCs/>
    </w:rPr>
  </w:style>
  <w:style w:type="character" w:customStyle="1" w:styleId="Ttulo3Char">
    <w:name w:val="Título 3 Char"/>
    <w:basedOn w:val="Fontepargpadro"/>
    <w:link w:val="Ttulo3"/>
    <w:rsid w:val="00BF39EE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3845</Words>
  <Characters>20763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21</cp:revision>
  <cp:lastPrinted>2015-03-26T13:00:00Z</cp:lastPrinted>
  <dcterms:created xsi:type="dcterms:W3CDTF">2025-03-24T03:10:00Z</dcterms:created>
  <dcterms:modified xsi:type="dcterms:W3CDTF">2025-04-27T15:24:00Z</dcterms:modified>
</cp:coreProperties>
</file>