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D40D" w14:textId="77777777" w:rsidR="00BB47CE" w:rsidRDefault="00BB47CE" w:rsidP="00BB47CE">
      <w:pPr>
        <w:pStyle w:val="Ttulo1"/>
      </w:pPr>
      <w:r>
        <w:t>DESENVOLVIMENTO</w:t>
      </w:r>
    </w:p>
    <w:p w14:paraId="6347E5C4" w14:textId="567D64FB" w:rsidR="00BB47CE" w:rsidRDefault="00BB47CE" w:rsidP="00BB47CE">
      <w:pPr>
        <w:pStyle w:val="TF-TEXTO"/>
      </w:pPr>
      <w:r>
        <w:t>Explicação geral do desenvolvimento (arquitetura)</w:t>
      </w:r>
    </w:p>
    <w:p w14:paraId="58467162" w14:textId="77777777" w:rsidR="00BB47CE" w:rsidRDefault="00BB47CE" w:rsidP="00BB47CE">
      <w:pPr>
        <w:pStyle w:val="Ttulo2"/>
      </w:pPr>
      <w:r>
        <w:t>BACKEND</w:t>
      </w:r>
    </w:p>
    <w:p w14:paraId="2178ACFF" w14:textId="77777777" w:rsidR="00BB47CE" w:rsidRDefault="00BB47CE" w:rsidP="00BB47CE">
      <w:pPr>
        <w:pStyle w:val="TF-TEXTO"/>
      </w:pPr>
      <w:r w:rsidRPr="0094685B">
        <w:t xml:space="preserve">O desenvolvimento do sistema </w:t>
      </w:r>
      <w:proofErr w:type="spellStart"/>
      <w:r w:rsidRPr="0094685B">
        <w:t>backend</w:t>
      </w:r>
      <w:proofErr w:type="spellEnd"/>
      <w:r w:rsidRPr="0094685B">
        <w:t xml:space="preserve"> constitui o núcleo computacional da plataforma de otimização de portfólios, implementando a infraestrutura necessária para processar requisições, executar o algoritmo genético multiobjetivo e fornecer respostas otimizadas aos clientes</w:t>
      </w:r>
      <w:r>
        <w:t>, além de disponibilizar uma API para chamada externa</w:t>
      </w:r>
      <w:r w:rsidRPr="0094685B">
        <w:t>. A arquitetura adotada segue princípios de separação de responsabilidades e modularização, facilitando a manutenção e evolução do sistema.</w:t>
      </w:r>
    </w:p>
    <w:p w14:paraId="2D9177CC" w14:textId="77777777" w:rsidR="00BB47CE" w:rsidRDefault="00BB47CE" w:rsidP="00BB47CE">
      <w:pPr>
        <w:pStyle w:val="Ttulo3"/>
      </w:pPr>
      <w:r>
        <w:t>Requisitos</w:t>
      </w:r>
    </w:p>
    <w:p w14:paraId="40AD99B0" w14:textId="77777777" w:rsidR="00BB47CE" w:rsidRDefault="00BB47CE" w:rsidP="00BB47CE">
      <w:pPr>
        <w:pStyle w:val="TF-TEXTO"/>
      </w:pPr>
      <w:r w:rsidRPr="002E2E4A">
        <w:t>O modelo foi desenvolvido atendendo os seguintes Requisitos Funcionais (RF) e Requisitos Não Funcionais (RNF):</w:t>
      </w:r>
    </w:p>
    <w:p w14:paraId="5EEDC0D7" w14:textId="77777777" w:rsidR="00BB47CE" w:rsidRDefault="00BB47CE" w:rsidP="00BB47CE">
      <w:pPr>
        <w:pStyle w:val="TF-ALNEA"/>
        <w:numPr>
          <w:ilvl w:val="0"/>
          <w:numId w:val="3"/>
        </w:numPr>
      </w:pPr>
      <w:r w:rsidRPr="004678EB">
        <w:t>autenticar usuários através de credenciais seguras (</w:t>
      </w:r>
      <w:proofErr w:type="spellStart"/>
      <w:r w:rsidRPr="004678EB">
        <w:t>email</w:t>
      </w:r>
      <w:proofErr w:type="spellEnd"/>
      <w:r w:rsidRPr="004678EB">
        <w:t xml:space="preserve"> e senha) e gerar tokens JWT para manutenção de sessões autorizadas</w:t>
      </w:r>
      <w:r>
        <w:t xml:space="preserve"> (RF);</w:t>
      </w:r>
    </w:p>
    <w:p w14:paraId="620BD205" w14:textId="77777777" w:rsidR="00BB47CE" w:rsidRDefault="00BB47CE" w:rsidP="00BB47CE">
      <w:pPr>
        <w:pStyle w:val="TF-ALNEA"/>
      </w:pPr>
      <w:r w:rsidRPr="004678EB">
        <w:t xml:space="preserve">coletar dados históricos mensais de preços via API Yahoo </w:t>
      </w:r>
      <w:proofErr w:type="spellStart"/>
      <w:r w:rsidRPr="004678EB">
        <w:t>Finance</w:t>
      </w:r>
      <w:proofErr w:type="spellEnd"/>
      <w:r w:rsidRPr="004678EB">
        <w:t xml:space="preserve"> e armazenar séries temporais com cálculo de variações percentuais (RF)</w:t>
      </w:r>
      <w:r>
        <w:t>;</w:t>
      </w:r>
    </w:p>
    <w:p w14:paraId="7A84E274" w14:textId="77777777" w:rsidR="00BB47CE" w:rsidRDefault="00BB47CE" w:rsidP="00BB47CE">
      <w:pPr>
        <w:pStyle w:val="TF-ALNEA"/>
      </w:pPr>
      <w:r w:rsidRPr="004678EB">
        <w:t xml:space="preserve">executar otimização multiobjetivo de carteiras através do algoritmo NSGA-II considerando maximização de retorno, minimização de variância e minimização de </w:t>
      </w:r>
      <w:proofErr w:type="spellStart"/>
      <w:r w:rsidRPr="004678EB">
        <w:t>CVaR</w:t>
      </w:r>
      <w:proofErr w:type="spellEnd"/>
      <w:r w:rsidRPr="004678EB">
        <w:t xml:space="preserve"> (RF);</w:t>
      </w:r>
    </w:p>
    <w:p w14:paraId="56F077C5" w14:textId="1E1A60B0" w:rsidR="00BB47CE" w:rsidRDefault="00BB47CE" w:rsidP="00BB47CE">
      <w:pPr>
        <w:pStyle w:val="TF-ALNEA"/>
      </w:pPr>
      <w:r w:rsidRPr="004678EB">
        <w:t>aplicar perfis de risco personalizados (conservador, moderado</w:t>
      </w:r>
      <w:r w:rsidR="00475073">
        <w:t xml:space="preserve"> e</w:t>
      </w:r>
      <w:r w:rsidRPr="004678EB">
        <w:t xml:space="preserve"> arrojado)</w:t>
      </w:r>
      <w:r w:rsidR="00475073">
        <w:t xml:space="preserve">, </w:t>
      </w:r>
      <w:r w:rsidRPr="004678EB">
        <w:t>restrições de ativos específicos</w:t>
      </w:r>
      <w:r w:rsidR="00475073">
        <w:t xml:space="preserve"> e limitação na quantidade de ativos da carteira</w:t>
      </w:r>
      <w:r w:rsidRPr="004678EB">
        <w:t xml:space="preserve"> durante o processo de otimização (RF);</w:t>
      </w:r>
    </w:p>
    <w:p w14:paraId="622FB5AD" w14:textId="77777777" w:rsidR="00BB47CE" w:rsidRDefault="00BB47CE" w:rsidP="00BB47CE">
      <w:pPr>
        <w:pStyle w:val="TF-ALNEA"/>
      </w:pPr>
      <w:r w:rsidRPr="004678EB">
        <w:t xml:space="preserve">realizar simulação de </w:t>
      </w:r>
      <w:proofErr w:type="spellStart"/>
      <w:r w:rsidRPr="004678EB">
        <w:t>backtest</w:t>
      </w:r>
      <w:proofErr w:type="spellEnd"/>
      <w:r w:rsidRPr="004678EB">
        <w:t xml:space="preserve"> comparando performance histórica das carteiras otimizadas com benchmark de mercado (RF);</w:t>
      </w:r>
    </w:p>
    <w:p w14:paraId="5B59AA61" w14:textId="77777777" w:rsidR="00BB47CE" w:rsidRDefault="00BB47CE" w:rsidP="00BB47CE">
      <w:pPr>
        <w:pStyle w:val="TF-ALNEA"/>
      </w:pPr>
      <w:r w:rsidRPr="004678EB">
        <w:t xml:space="preserve">utilizar linguagem Python com framework </w:t>
      </w:r>
      <w:proofErr w:type="spellStart"/>
      <w:r w:rsidRPr="004678EB">
        <w:t>Flask</w:t>
      </w:r>
      <w:proofErr w:type="spellEnd"/>
      <w:r w:rsidRPr="004678EB">
        <w:t xml:space="preserve"> para API REST (RNF);</w:t>
      </w:r>
    </w:p>
    <w:p w14:paraId="19EA20BC" w14:textId="77777777" w:rsidR="00BB47CE" w:rsidRDefault="00BB47CE" w:rsidP="00BB47CE">
      <w:pPr>
        <w:pStyle w:val="TF-ALNEA"/>
      </w:pPr>
      <w:r>
        <w:t xml:space="preserve">utilizar o </w:t>
      </w:r>
      <w:r w:rsidRPr="004678EB">
        <w:t>PostgreSQL como banco de dados relacional</w:t>
      </w:r>
      <w:r>
        <w:t xml:space="preserve"> </w:t>
      </w:r>
      <w:r w:rsidRPr="004678EB">
        <w:t>(RNF);</w:t>
      </w:r>
    </w:p>
    <w:p w14:paraId="45F68970" w14:textId="77777777" w:rsidR="00BB47CE" w:rsidRDefault="00BB47CE" w:rsidP="00BB47CE">
      <w:pPr>
        <w:pStyle w:val="TF-ALNEA"/>
      </w:pPr>
      <w:r>
        <w:t xml:space="preserve">utilizar a </w:t>
      </w:r>
      <w:r w:rsidRPr="004678EB">
        <w:t xml:space="preserve">biblioteca </w:t>
      </w:r>
      <w:proofErr w:type="spellStart"/>
      <w:r w:rsidRPr="004678EB">
        <w:t>pymoo</w:t>
      </w:r>
      <w:proofErr w:type="spellEnd"/>
      <w:r w:rsidRPr="004678EB">
        <w:t xml:space="preserve"> para </w:t>
      </w:r>
      <w:r>
        <w:t xml:space="preserve">realizar o processamento do </w:t>
      </w:r>
      <w:r w:rsidRPr="004678EB">
        <w:t>algoritmo genético</w:t>
      </w:r>
      <w:r>
        <w:t xml:space="preserve"> </w:t>
      </w:r>
      <w:r w:rsidRPr="004678EB">
        <w:t>(RNF);</w:t>
      </w:r>
    </w:p>
    <w:p w14:paraId="1E036FEC" w14:textId="77777777" w:rsidR="00BB47CE" w:rsidRDefault="00BB47CE" w:rsidP="00BB47CE">
      <w:pPr>
        <w:pStyle w:val="TF-ALNEA"/>
      </w:pPr>
      <w:r w:rsidRPr="002E2E4A">
        <w:t xml:space="preserve">ser capaz de realizar a </w:t>
      </w:r>
      <w:r>
        <w:t>otimização</w:t>
      </w:r>
      <w:r w:rsidRPr="002E2E4A">
        <w:t xml:space="preserve"> em um tempo máximo de um minuto (RNF);</w:t>
      </w:r>
    </w:p>
    <w:p w14:paraId="04E9693C" w14:textId="77777777" w:rsidR="00BB47CE" w:rsidRDefault="00BB47CE" w:rsidP="00BB47CE">
      <w:pPr>
        <w:pStyle w:val="Ttulo3"/>
      </w:pPr>
      <w:r>
        <w:lastRenderedPageBreak/>
        <w:t>Banco de dados</w:t>
      </w:r>
    </w:p>
    <w:p w14:paraId="0976D4A1" w14:textId="77777777" w:rsidR="00BB47CE" w:rsidRPr="00523BFD" w:rsidRDefault="00BB47CE" w:rsidP="00BB47CE">
      <w:pPr>
        <w:pStyle w:val="TF-TEXTO"/>
      </w:pPr>
      <w:r w:rsidRPr="00523BFD">
        <w:t>Optou-se por utilizar o PostgreSQL como sistema gerenciador de banco de dados responsável pelo armazenamento das informações relacionadas aos usuários, às operações do sistema e aos resultados gerados pelos módulos de processamento. O PostgreSQL é um SGBD relacional de código aberto, amplamente reconhecido pela sua confiabilidade, robustez e aderência a padrões SQL, além de oferecer recursos avançados que o colocam no mesmo patamar de soluções corporativas utilizadas em larga escala.</w:t>
      </w:r>
    </w:p>
    <w:p w14:paraId="2EC7CFF3" w14:textId="77777777" w:rsidR="00BB47CE" w:rsidRPr="00523BFD" w:rsidRDefault="00BB47CE" w:rsidP="00BB47CE">
      <w:pPr>
        <w:pStyle w:val="TF-TEXTO"/>
      </w:pPr>
      <w:r w:rsidRPr="00523BFD">
        <w:t>A escolha por um banco de dados relacional fundamenta-se na necessidade de manter consistência, integridade e estruturação rigorosa das informações manipuladas pela aplicação. Em especial, o modelo relacional favorece o uso de esquemas bem definidos, com relacionamentos claros entre entidades, o que é essencial em sistemas que lidam com dados estruturados, como cadastros, registros históricos, configurações de execução e metadados utilizados no processo de otimização de carteiras. Esse formato garante maior segurança na manipulação dos dados, facilita auditorias e reduz ambiguidades durante o processamento.</w:t>
      </w:r>
    </w:p>
    <w:p w14:paraId="42815E3E" w14:textId="77777777" w:rsidR="00BB47CE" w:rsidRDefault="00BB47CE" w:rsidP="00BB47CE">
      <w:pPr>
        <w:pStyle w:val="TF-TEXTO"/>
      </w:pPr>
      <w:r w:rsidRPr="00523BFD">
        <w:t>No contexto deste projeto, tais características foram fundamentais para dar suporte a um ambiente de processamento intensivo, garantindo organização, segurança dos dados, eficiência nas consultas e escalabilidade conforme o volume de avaliações das carteiras cresce. A Figura XX apresenta o Modelo Entidade-Relacionamento (MER) desenvolvido para estruturar as tabelas responsáveis pelo gerenciamento dos usuários, ativos financeiros, parâmetros do algoritmo e resultados da otimização.</w:t>
      </w:r>
    </w:p>
    <w:p w14:paraId="78093681" w14:textId="77777777" w:rsidR="00BB47CE" w:rsidRDefault="00BB47CE" w:rsidP="00BB47CE">
      <w:pPr>
        <w:pStyle w:val="TF-TEXTO"/>
      </w:pPr>
    </w:p>
    <w:p w14:paraId="147CE5BB" w14:textId="77777777" w:rsidR="00BB47CE" w:rsidRDefault="00BB47CE" w:rsidP="00BB47CE">
      <w:pPr>
        <w:pStyle w:val="TF-TEXTO"/>
      </w:pPr>
    </w:p>
    <w:p w14:paraId="1685FBF2" w14:textId="77777777" w:rsidR="00BB47CE" w:rsidRDefault="00BB47CE" w:rsidP="00BB47CE">
      <w:pPr>
        <w:pStyle w:val="TF-TEXTO"/>
      </w:pPr>
      <w:r>
        <w:t>--imagem MER--</w:t>
      </w:r>
    </w:p>
    <w:p w14:paraId="2D1F318E" w14:textId="77777777" w:rsidR="00BB47CE" w:rsidRDefault="00BB47CE" w:rsidP="00BB47CE">
      <w:pPr>
        <w:pStyle w:val="TF-TEXTO"/>
      </w:pPr>
    </w:p>
    <w:p w14:paraId="20BCE8BC" w14:textId="77777777" w:rsidR="00BB47CE" w:rsidRDefault="00BB47CE" w:rsidP="00BB47CE">
      <w:pPr>
        <w:pStyle w:val="TF-TEXTO"/>
      </w:pPr>
    </w:p>
    <w:p w14:paraId="0A39271A" w14:textId="77777777" w:rsidR="00BB47CE" w:rsidRDefault="00BB47CE" w:rsidP="00BB47CE">
      <w:pPr>
        <w:pStyle w:val="TF-TEXTO"/>
      </w:pPr>
    </w:p>
    <w:p w14:paraId="4D9DC9C4" w14:textId="77777777" w:rsidR="00BB47CE" w:rsidRPr="002E2E4A" w:rsidRDefault="00BB47CE" w:rsidP="00BB47CE">
      <w:pPr>
        <w:pStyle w:val="TF-TEXTO"/>
        <w:numPr>
          <w:ilvl w:val="0"/>
          <w:numId w:val="14"/>
        </w:numPr>
        <w:rPr>
          <w:szCs w:val="24"/>
        </w:rPr>
      </w:pPr>
      <w:proofErr w:type="spellStart"/>
      <w:r w:rsidRPr="00972965">
        <w:rPr>
          <w:rFonts w:ascii="Courier New" w:hAnsi="Courier New" w:cs="Courier New"/>
          <w:sz w:val="20"/>
        </w:rPr>
        <w:t>usuarios</w:t>
      </w:r>
      <w:proofErr w:type="spellEnd"/>
      <w:r w:rsidRPr="002E2E4A">
        <w:rPr>
          <w:szCs w:val="24"/>
        </w:rPr>
        <w:t>:</w:t>
      </w:r>
      <w:r>
        <w:rPr>
          <w:szCs w:val="24"/>
        </w:rPr>
        <w:t xml:space="preserve"> </w:t>
      </w:r>
      <w:r w:rsidRPr="00972965">
        <w:t xml:space="preserve">armazena informações de autenticação e identificação, incluindo </w:t>
      </w:r>
      <w:proofErr w:type="spellStart"/>
      <w:r w:rsidRPr="00972965">
        <w:t>hash</w:t>
      </w:r>
      <w:proofErr w:type="spellEnd"/>
      <w:r w:rsidRPr="00972965">
        <w:t xml:space="preserve"> seguro da senha</w:t>
      </w:r>
      <w:r>
        <w:t xml:space="preserve">. </w:t>
      </w:r>
      <w:r w:rsidRPr="00972965">
        <w:t xml:space="preserve">Esta </w:t>
      </w:r>
      <w:r>
        <w:t>tabela</w:t>
      </w:r>
      <w:r w:rsidRPr="00972965">
        <w:t xml:space="preserve"> relaciona-se com carteiras através de uma associação um-para-muitos, permitindo que cada usuário mantenha múltiplas carteiras otimizadas</w:t>
      </w:r>
    </w:p>
    <w:p w14:paraId="39523C52" w14:textId="77777777" w:rsidR="00BB47CE" w:rsidRPr="002E2E4A" w:rsidRDefault="00BB47CE" w:rsidP="00BB47CE">
      <w:pPr>
        <w:pStyle w:val="TF-TEXTO"/>
        <w:numPr>
          <w:ilvl w:val="0"/>
          <w:numId w:val="14"/>
        </w:numPr>
      </w:pPr>
      <w:r>
        <w:rPr>
          <w:rFonts w:ascii="Courier New" w:hAnsi="Courier New" w:cs="Courier New"/>
          <w:sz w:val="20"/>
        </w:rPr>
        <w:t>ativos</w:t>
      </w:r>
      <w:r w:rsidRPr="002E2E4A">
        <w:t xml:space="preserve">: </w:t>
      </w:r>
      <w:r w:rsidRPr="00972965">
        <w:t xml:space="preserve">centraliza informações sobre instrumentos financeiros disponíveis para otimização. Cada ativo possui </w:t>
      </w:r>
      <w:proofErr w:type="spellStart"/>
      <w:r w:rsidRPr="00972965">
        <w:t>ticker</w:t>
      </w:r>
      <w:proofErr w:type="spellEnd"/>
      <w:r w:rsidRPr="00972965">
        <w:t xml:space="preserve"> único, nome descritivo, classificação por tipo e </w:t>
      </w:r>
      <w:r w:rsidRPr="00972965">
        <w:lastRenderedPageBreak/>
        <w:t>setor econômico. Esta estrutura facilita filtragens e agrupamentos durante o processo de seleção de ativos</w:t>
      </w:r>
      <w:r w:rsidRPr="002E2E4A">
        <w:t>;</w:t>
      </w:r>
    </w:p>
    <w:p w14:paraId="22E0E0A5" w14:textId="77777777" w:rsidR="00BB47CE" w:rsidRPr="002E2E4A" w:rsidRDefault="00BB47CE" w:rsidP="00BB47CE">
      <w:pPr>
        <w:pStyle w:val="TF-TEXTO"/>
        <w:numPr>
          <w:ilvl w:val="0"/>
          <w:numId w:val="14"/>
        </w:numPr>
        <w:rPr>
          <w:szCs w:val="24"/>
        </w:rPr>
      </w:pPr>
      <w:proofErr w:type="spellStart"/>
      <w:r w:rsidRPr="008E2854">
        <w:rPr>
          <w:rFonts w:ascii="Courier New" w:hAnsi="Courier New" w:cs="Courier New"/>
          <w:sz w:val="20"/>
        </w:rPr>
        <w:t>historico_precos</w:t>
      </w:r>
      <w:proofErr w:type="spellEnd"/>
      <w:r w:rsidRPr="002E2E4A">
        <w:rPr>
          <w:szCs w:val="24"/>
        </w:rPr>
        <w:t xml:space="preserve">: </w:t>
      </w:r>
      <w:r>
        <w:rPr>
          <w:szCs w:val="24"/>
        </w:rPr>
        <w:t>armazena a</w:t>
      </w:r>
      <w:r w:rsidRPr="008E2854">
        <w:rPr>
          <w:szCs w:val="24"/>
        </w:rPr>
        <w:t xml:space="preserve"> série temporal dos preços de fechamento mensais. Esta </w:t>
      </w:r>
      <w:proofErr w:type="spellStart"/>
      <w:r w:rsidRPr="008E2854">
        <w:rPr>
          <w:szCs w:val="24"/>
        </w:rPr>
        <w:t>desnormalização</w:t>
      </w:r>
      <w:proofErr w:type="spellEnd"/>
      <w:r w:rsidRPr="008E2854">
        <w:rPr>
          <w:szCs w:val="24"/>
        </w:rPr>
        <w:t xml:space="preserve"> controlada otimiza consultas frequentes durante o processo de otimização, evitando </w:t>
      </w:r>
      <w:r>
        <w:rPr>
          <w:szCs w:val="24"/>
        </w:rPr>
        <w:t>consultas externas repetitivas</w:t>
      </w:r>
      <w:r w:rsidRPr="002E2E4A">
        <w:rPr>
          <w:szCs w:val="24"/>
        </w:rPr>
        <w:t>;</w:t>
      </w:r>
    </w:p>
    <w:p w14:paraId="2816DF07" w14:textId="77777777" w:rsidR="00BB47CE" w:rsidRPr="00FD6C88" w:rsidRDefault="00BB47CE" w:rsidP="00BB47CE">
      <w:pPr>
        <w:pStyle w:val="TF-TEXTO"/>
        <w:numPr>
          <w:ilvl w:val="0"/>
          <w:numId w:val="14"/>
        </w:numPr>
      </w:pPr>
      <w:r w:rsidRPr="008E2854">
        <w:rPr>
          <w:rFonts w:ascii="Courier New" w:hAnsi="Courier New" w:cs="Courier New"/>
          <w:sz w:val="20"/>
        </w:rPr>
        <w:t>carteiras</w:t>
      </w:r>
      <w:r w:rsidRPr="008E2854">
        <w:rPr>
          <w:szCs w:val="24"/>
        </w:rPr>
        <w:t xml:space="preserve">: armazena as informações descritivas da carteira </w:t>
      </w:r>
      <w:r>
        <w:rPr>
          <w:szCs w:val="24"/>
        </w:rPr>
        <w:t xml:space="preserve">guarda a composição final dos ativos gerados pela otimização na tabela </w:t>
      </w:r>
      <w:proofErr w:type="spellStart"/>
      <w:r w:rsidRPr="008E2854">
        <w:rPr>
          <w:szCs w:val="24"/>
        </w:rPr>
        <w:t>carteira_ativos</w:t>
      </w:r>
      <w:proofErr w:type="spellEnd"/>
    </w:p>
    <w:p w14:paraId="1076D528" w14:textId="77777777" w:rsidR="00BB47CE" w:rsidRPr="00FD6C88" w:rsidRDefault="00BB47CE" w:rsidP="00BB47CE">
      <w:pPr>
        <w:pStyle w:val="TF-TEXTO"/>
        <w:numPr>
          <w:ilvl w:val="0"/>
          <w:numId w:val="14"/>
        </w:numPr>
      </w:pPr>
      <w:proofErr w:type="spellStart"/>
      <w:r w:rsidRPr="00FD6C88">
        <w:rPr>
          <w:rFonts w:ascii="Courier New" w:hAnsi="Courier New" w:cs="Courier New"/>
          <w:sz w:val="20"/>
        </w:rPr>
        <w:t>parametros_otimizacao</w:t>
      </w:r>
      <w:proofErr w:type="spellEnd"/>
      <w:r w:rsidRPr="008E2854">
        <w:rPr>
          <w:szCs w:val="24"/>
        </w:rPr>
        <w:t xml:space="preserve">: </w:t>
      </w:r>
      <w:r w:rsidRPr="00FD6C88">
        <w:rPr>
          <w:szCs w:val="24"/>
        </w:rPr>
        <w:t>preserva o contexto completo utilizado em cada otimização, incluindo perfil de risco, horizonte temporal</w:t>
      </w:r>
      <w:r>
        <w:rPr>
          <w:szCs w:val="24"/>
        </w:rPr>
        <w:t xml:space="preserve"> e limite de ativos</w:t>
      </w:r>
    </w:p>
    <w:p w14:paraId="39DC0931" w14:textId="77777777" w:rsidR="00BB47CE" w:rsidRDefault="00BB47CE" w:rsidP="00BB47CE">
      <w:pPr>
        <w:pStyle w:val="TF-TEXTO"/>
        <w:numPr>
          <w:ilvl w:val="0"/>
          <w:numId w:val="14"/>
        </w:numPr>
      </w:pPr>
      <w:proofErr w:type="spellStart"/>
      <w:r w:rsidRPr="00FD6C88">
        <w:rPr>
          <w:rFonts w:ascii="Courier New" w:hAnsi="Courier New" w:cs="Courier New"/>
          <w:sz w:val="20"/>
        </w:rPr>
        <w:t>hyperparameter_configs</w:t>
      </w:r>
      <w:proofErr w:type="spellEnd"/>
      <w:r w:rsidRPr="00FD6C88">
        <w:rPr>
          <w:szCs w:val="24"/>
        </w:rPr>
        <w:t xml:space="preserve">: </w:t>
      </w:r>
      <w:r>
        <w:rPr>
          <w:szCs w:val="24"/>
        </w:rPr>
        <w:t>armazena as</w:t>
      </w:r>
      <w:r w:rsidRPr="00FD6C88">
        <w:rPr>
          <w:szCs w:val="24"/>
        </w:rPr>
        <w:t xml:space="preserve"> configurações ótimas de </w:t>
      </w:r>
      <w:proofErr w:type="spellStart"/>
      <w:r w:rsidRPr="00FD6C88">
        <w:rPr>
          <w:szCs w:val="24"/>
        </w:rPr>
        <w:t>hiperparâmetros</w:t>
      </w:r>
      <w:proofErr w:type="spellEnd"/>
      <w:r w:rsidRPr="00FD6C88">
        <w:rPr>
          <w:szCs w:val="24"/>
        </w:rPr>
        <w:t xml:space="preserve"> determinadas através de processos sistemáticos de </w:t>
      </w:r>
      <w:proofErr w:type="spellStart"/>
      <w:r w:rsidRPr="00FD6C88">
        <w:rPr>
          <w:szCs w:val="24"/>
        </w:rPr>
        <w:t>tuning</w:t>
      </w:r>
      <w:proofErr w:type="spellEnd"/>
      <w:r w:rsidRPr="00FD6C88">
        <w:rPr>
          <w:szCs w:val="24"/>
        </w:rPr>
        <w:t>. Cada registro mapeia uma quantidade específica de ativos para valores ideais de tamanho populacional e número de gerações, permitindo que o sistema ajuste automaticamente seus parâmetros baseado na complexidade do problema.</w:t>
      </w:r>
    </w:p>
    <w:p w14:paraId="49597657" w14:textId="77777777" w:rsidR="00BB47CE" w:rsidRDefault="00BB47CE" w:rsidP="00BB47CE">
      <w:pPr>
        <w:pStyle w:val="TF-TEXTO"/>
      </w:pPr>
    </w:p>
    <w:p w14:paraId="081DC3C5" w14:textId="77777777" w:rsidR="00BB47CE" w:rsidRDefault="00BB47CE" w:rsidP="00BB47CE">
      <w:pPr>
        <w:pStyle w:val="TF-TEXTO"/>
      </w:pPr>
    </w:p>
    <w:p w14:paraId="78EC2013" w14:textId="77777777" w:rsidR="00BB47CE" w:rsidRDefault="00BB47CE" w:rsidP="00BB47CE">
      <w:pPr>
        <w:pStyle w:val="Ttulo3"/>
      </w:pPr>
      <w:r>
        <w:t>Extração dos dados</w:t>
      </w:r>
    </w:p>
    <w:p w14:paraId="15976BFF" w14:textId="3AD72A73" w:rsidR="00BB47CE" w:rsidRPr="00692D68" w:rsidRDefault="00BB47CE" w:rsidP="00BB47CE">
      <w:pPr>
        <w:pStyle w:val="TF-TEXTO"/>
      </w:pPr>
      <w:r w:rsidRPr="00FD6C88">
        <w:t xml:space="preserve">O processo de extração de dados financeiros constitui etapa fundamental para garantir a qualidade das otimizações subsequentes. </w:t>
      </w:r>
      <w:r w:rsidRPr="00692D68">
        <w:t>Inicialmente, o sistema identifica</w:t>
      </w:r>
      <w:r>
        <w:t xml:space="preserve"> e persiste</w:t>
      </w:r>
      <w:r w:rsidRPr="00692D68">
        <w:t xml:space="preserve"> os 50 ativos mais líquidos da B3 utilizando o índice </w:t>
      </w:r>
      <w:r w:rsidR="00544DF2" w:rsidRPr="00544DF2">
        <w:t>IBX50</w:t>
      </w:r>
      <w:r w:rsidRPr="00692D68">
        <w:t>, referência amplamente utilizada no mercado para representar ações com maior volume e relevância.</w:t>
      </w:r>
      <w:r w:rsidRPr="00692D68">
        <w:rPr>
          <w:szCs w:val="24"/>
        </w:rPr>
        <w:t xml:space="preserve"> </w:t>
      </w:r>
    </w:p>
    <w:p w14:paraId="6D16C91C" w14:textId="77777777" w:rsidR="00BB47CE" w:rsidRDefault="00BB47CE" w:rsidP="00BB47CE">
      <w:pPr>
        <w:pStyle w:val="TF-TEXTO"/>
      </w:pPr>
      <w:r w:rsidRPr="00692D68">
        <w:t xml:space="preserve">Uma vez registrado o conjunto de ativos, o sistema inicia a coleta das séries históricas por meio da biblioteca </w:t>
      </w:r>
      <w:proofErr w:type="spellStart"/>
      <w:r w:rsidRPr="00692D68">
        <w:rPr>
          <w:i/>
          <w:iCs/>
        </w:rPr>
        <w:t>yfinance</w:t>
      </w:r>
      <w:proofErr w:type="spellEnd"/>
      <w:r w:rsidRPr="00692D68">
        <w:t xml:space="preserve">, que estabelece conexão direta com os servidores do Yahoo </w:t>
      </w:r>
      <w:proofErr w:type="spellStart"/>
      <w:r w:rsidRPr="00692D68">
        <w:t>Finance</w:t>
      </w:r>
      <w:proofErr w:type="spellEnd"/>
      <w:r w:rsidRPr="00692D68">
        <w:t>. Para cada ativo previamente cadastrado, o sistema obtém o histórico completo no intervalo mensal</w:t>
      </w:r>
      <w:r>
        <w:t xml:space="preserve"> e garantindo </w:t>
      </w:r>
      <w:r w:rsidRPr="00692D68">
        <w:t>que os preços retornados estejam devidamente ajustados por dividendos e desdobramentos. Esse tipo de ajuste reduz distorções e melhora a precisão das métricas utilizadas na otimização.</w:t>
      </w:r>
    </w:p>
    <w:p w14:paraId="1E2E2F36" w14:textId="77777777" w:rsidR="00BB47CE" w:rsidRDefault="00BB47CE" w:rsidP="00BB47CE">
      <w:pPr>
        <w:pStyle w:val="TF-TEXTO"/>
      </w:pPr>
      <w:r w:rsidRPr="00692D68">
        <w:t>Após a obtenção das séries históricas, o sistema calcula a variação percentual mensal de cada ativo, a partir da diferença relativa entre os preços de fechamento</w:t>
      </w:r>
      <w:r>
        <w:t xml:space="preserve">. </w:t>
      </w:r>
      <w:r w:rsidRPr="00692D68">
        <w:t xml:space="preserve">Essa métrica constitui um dos elementos fundamentais para a construção das matrizes estatísticas empregadas no modelo multiobjetivo. Na sequência, cada registro mensal é avaliado individualmente e comparado ao conteúdo já existente no banco de dados. Apenas valores </w:t>
      </w:r>
      <w:r w:rsidRPr="00692D68">
        <w:lastRenderedPageBreak/>
        <w:t>inéditos são persistidos, evitando duplicidades e garantindo consistência no histórico armazenado.</w:t>
      </w:r>
    </w:p>
    <w:p w14:paraId="7A19D1A0" w14:textId="77777777" w:rsidR="00014FF4" w:rsidRDefault="00014FF4" w:rsidP="00BB47CE">
      <w:pPr>
        <w:pStyle w:val="TF-TEXTO"/>
      </w:pPr>
    </w:p>
    <w:p w14:paraId="5116B49C" w14:textId="66BA7897" w:rsidR="00014FF4" w:rsidRDefault="00014FF4" w:rsidP="00BB47CE">
      <w:pPr>
        <w:pStyle w:val="TF-TEXTO"/>
      </w:pPr>
      <w:r>
        <w:t>-- código da extração de dados</w:t>
      </w:r>
    </w:p>
    <w:p w14:paraId="5061A5E8" w14:textId="77777777" w:rsidR="00014FF4" w:rsidRDefault="00014FF4" w:rsidP="00BB47CE">
      <w:pPr>
        <w:pStyle w:val="TF-TEXTO"/>
      </w:pPr>
    </w:p>
    <w:p w14:paraId="5BD763B9" w14:textId="77777777" w:rsidR="00014FF4" w:rsidRDefault="00014FF4" w:rsidP="00BB47CE">
      <w:pPr>
        <w:pStyle w:val="TF-TEXTO"/>
      </w:pPr>
    </w:p>
    <w:p w14:paraId="009A48F1" w14:textId="7285D86B" w:rsidR="00014FF4" w:rsidRDefault="00014FF4" w:rsidP="00BB47CE">
      <w:pPr>
        <w:pStyle w:val="TF-TEXTO"/>
      </w:pPr>
      <w:r w:rsidRPr="00014FF4">
        <w:t>Complementando esse fluxo, foi desenvolvido um agendador noturno responsável por manter o banco de dados constantemente atualizado. Esse agendador é executado diariamente às 23 horas e tem como função realizar a extração dos preços mais recentes disponíveis para cada ativo monitorado. Assim que os novos dados são obtidos, o sistema repete o processo de validação e persistência, inserindo apenas os valores ainda não registrados. Com isso, o histórico financeiro permanece atualizado de forma automática, permitindo que as otimizações realizadas posteriormente utilizem dados recentes e confiáveis, sem necessidade de intervenções manuais.</w:t>
      </w:r>
    </w:p>
    <w:p w14:paraId="36CE7106" w14:textId="77777777" w:rsidR="00014FF4" w:rsidRDefault="00014FF4" w:rsidP="00BB47CE">
      <w:pPr>
        <w:pStyle w:val="TF-TEXTO"/>
      </w:pPr>
    </w:p>
    <w:p w14:paraId="36F6AE2F" w14:textId="5B18FFA1" w:rsidR="00014FF4" w:rsidRDefault="00014FF4" w:rsidP="00BB47CE">
      <w:pPr>
        <w:pStyle w:val="TF-TEXTO"/>
      </w:pPr>
      <w:r>
        <w:t>-- código do agendador --</w:t>
      </w:r>
    </w:p>
    <w:p w14:paraId="6CD5DDCA" w14:textId="77777777" w:rsidR="00BB47CE" w:rsidRDefault="00BB47CE" w:rsidP="00BB47CE">
      <w:pPr>
        <w:pStyle w:val="TF-TEXTO"/>
      </w:pPr>
    </w:p>
    <w:p w14:paraId="63AA90E8" w14:textId="77777777" w:rsidR="00BB47CE" w:rsidRDefault="00BB47CE" w:rsidP="00BB47CE">
      <w:pPr>
        <w:pStyle w:val="Ttulo3"/>
      </w:pPr>
      <w:r w:rsidRPr="00692D68">
        <w:t xml:space="preserve">Pré-processamento dos </w:t>
      </w:r>
      <w:r>
        <w:t>d</w:t>
      </w:r>
      <w:r w:rsidRPr="00692D68">
        <w:t>ados</w:t>
      </w:r>
    </w:p>
    <w:p w14:paraId="2185FE4F" w14:textId="77777777" w:rsidR="00BB47CE" w:rsidRDefault="00BB47CE" w:rsidP="00BB47CE">
      <w:pPr>
        <w:pStyle w:val="TF-TEXTO"/>
      </w:pPr>
      <w:r w:rsidRPr="00692D68">
        <w:t xml:space="preserve">A determinação dos </w:t>
      </w:r>
      <w:proofErr w:type="spellStart"/>
      <w:r w:rsidRPr="00692D68">
        <w:t>hiperparâmetros</w:t>
      </w:r>
      <w:proofErr w:type="spellEnd"/>
      <w:r w:rsidRPr="00692D68">
        <w:t xml:space="preserve"> ótimos para o algoritmo NSGA-II representa desafio fundamental para balancear qualidade das soluções e tempo computacional. O sistema implementa metodologia sistemática de grid </w:t>
      </w:r>
      <w:proofErr w:type="spellStart"/>
      <w:r w:rsidRPr="00692D68">
        <w:t>search</w:t>
      </w:r>
      <w:proofErr w:type="spellEnd"/>
      <w:r w:rsidRPr="00692D68">
        <w:t xml:space="preserve"> combinada com análise de convergência para identificar configurações ideais para diferentes cenários de otimização.</w:t>
      </w:r>
    </w:p>
    <w:p w14:paraId="2C79D100" w14:textId="77777777" w:rsidR="00BB47CE" w:rsidRPr="00692D68" w:rsidRDefault="00BB47CE" w:rsidP="00BB47CE">
      <w:pPr>
        <w:pStyle w:val="TF-TEXTO"/>
      </w:pPr>
      <w:r w:rsidRPr="00692D68">
        <w:t>O processo inicia-se testando combinações sistemáticas de tamanho populacional e número de gerações. Para cada configuração, o sistema executa múltiplas otimizações independentes</w:t>
      </w:r>
      <w:r>
        <w:t xml:space="preserve"> e com quantidade de ativos diferentes</w:t>
      </w:r>
      <w:r w:rsidRPr="00692D68">
        <w:t xml:space="preserve">, coletando métricas de qualidade como </w:t>
      </w:r>
      <w:proofErr w:type="spellStart"/>
      <w:r w:rsidRPr="00692D68">
        <w:t>hypervolume</w:t>
      </w:r>
      <w:proofErr w:type="spellEnd"/>
      <w:r w:rsidRPr="00692D68">
        <w:t xml:space="preserve">, spread e </w:t>
      </w:r>
      <w:proofErr w:type="spellStart"/>
      <w:r w:rsidRPr="00692D68">
        <w:t>spacing</w:t>
      </w:r>
      <w:proofErr w:type="spellEnd"/>
      <w:r w:rsidRPr="00692D68">
        <w:t xml:space="preserve"> da fronteira de Pareto resultante. A repetição de execuções permite análise estatística robusta, quantificando variabilidade e identificando configurações consistentemente superiores.</w:t>
      </w:r>
    </w:p>
    <w:p w14:paraId="5853BE99" w14:textId="77777777" w:rsidR="00BB47CE" w:rsidRPr="00692D68" w:rsidRDefault="00BB47CE" w:rsidP="00BB47CE">
      <w:pPr>
        <w:pStyle w:val="TF-TEXTO"/>
      </w:pPr>
      <w:r w:rsidRPr="00692D68">
        <w:t xml:space="preserve">A métrica </w:t>
      </w:r>
      <w:proofErr w:type="spellStart"/>
      <w:r w:rsidRPr="00692D68">
        <w:t>hypervolume</w:t>
      </w:r>
      <w:proofErr w:type="spellEnd"/>
      <w:r w:rsidRPr="00692D68">
        <w:t xml:space="preserve"> emerge como indicador principal de qualidade, medindo o volume do espaço de objetivos dominado pela fronteira de Pareto. Valores superiores de </w:t>
      </w:r>
      <w:proofErr w:type="spellStart"/>
      <w:r w:rsidRPr="00692D68">
        <w:t>hypervolume</w:t>
      </w:r>
      <w:proofErr w:type="spellEnd"/>
      <w:r w:rsidRPr="00692D68">
        <w:t xml:space="preserve"> indicam fronteiras mais extensas e bem distribuídas, representando maior diversidade de opções para o investidor.</w:t>
      </w:r>
      <w:r>
        <w:t xml:space="preserve"> </w:t>
      </w:r>
    </w:p>
    <w:p w14:paraId="1FC3C601" w14:textId="77777777" w:rsidR="00BB47CE" w:rsidRDefault="00BB47CE" w:rsidP="00BB47CE">
      <w:pPr>
        <w:pStyle w:val="TF-TEXTO"/>
      </w:pPr>
      <w:r w:rsidRPr="00692D68">
        <w:lastRenderedPageBreak/>
        <w:t xml:space="preserve">O sistema gera visualizações compreensivas do trade-off entre qualidade e tempo computacional. O gráfico bidimensional posiciona tempo de execução no eixo horizontal e </w:t>
      </w:r>
      <w:proofErr w:type="spellStart"/>
      <w:r w:rsidRPr="00692D68">
        <w:t>hypervolume</w:t>
      </w:r>
      <w:proofErr w:type="spellEnd"/>
      <w:r w:rsidRPr="00692D68">
        <w:t xml:space="preserve"> médio no eixo vertical, permitindo identificação visual do "joelho" da curva - ponto onde incrementos adicionais em tempo resultam em ganhos marginais decrescentes de qualidade.</w:t>
      </w:r>
    </w:p>
    <w:p w14:paraId="348FE6B6" w14:textId="77777777" w:rsidR="00BB47CE" w:rsidRDefault="00BB47CE" w:rsidP="00BB47CE">
      <w:pPr>
        <w:pStyle w:val="TF-TEXTO"/>
      </w:pPr>
    </w:p>
    <w:p w14:paraId="0F929F80" w14:textId="3698E4AC" w:rsidR="00BB47CE" w:rsidRDefault="00BB47CE" w:rsidP="00BB47CE">
      <w:pPr>
        <w:pStyle w:val="TF-TEXTO"/>
      </w:pPr>
      <w:r>
        <w:t>-- imagem do gráfico</w:t>
      </w:r>
      <w:r w:rsidR="00B65451">
        <w:t xml:space="preserve"> de</w:t>
      </w:r>
      <w:r>
        <w:t xml:space="preserve"> trade-off –</w:t>
      </w:r>
    </w:p>
    <w:p w14:paraId="06FD9AA4" w14:textId="77777777" w:rsidR="00BB47CE" w:rsidRPr="00692D68" w:rsidRDefault="00BB47CE" w:rsidP="00BB47CE">
      <w:pPr>
        <w:pStyle w:val="TF-TEXTO"/>
      </w:pPr>
    </w:p>
    <w:p w14:paraId="4A222E57" w14:textId="77777777" w:rsidR="00BB47CE" w:rsidRPr="00692D68" w:rsidRDefault="00BB47CE" w:rsidP="00BB47CE">
      <w:pPr>
        <w:pStyle w:val="TF-TEXTO"/>
      </w:pPr>
      <w:r w:rsidRPr="00692D68">
        <w:t xml:space="preserve">Os resultados do </w:t>
      </w:r>
      <w:proofErr w:type="spellStart"/>
      <w:r w:rsidRPr="00692D68">
        <w:t>tuning</w:t>
      </w:r>
      <w:proofErr w:type="spellEnd"/>
      <w:r w:rsidRPr="00692D68">
        <w:t xml:space="preserve"> são persistidos no banco de dados, criando biblioteca de configurações ótimas indexadas por número de ativos e perfil de risco. Durante execuções subsequentes, o sistema consulta automaticamente esta biblioteca, aplicando </w:t>
      </w:r>
      <w:proofErr w:type="spellStart"/>
      <w:r w:rsidRPr="00692D68">
        <w:t>hiperparâmetros</w:t>
      </w:r>
      <w:proofErr w:type="spellEnd"/>
      <w:r w:rsidRPr="00692D68">
        <w:t xml:space="preserve"> previamente otimizados para cenários similares.</w:t>
      </w:r>
    </w:p>
    <w:p w14:paraId="1C589241" w14:textId="77777777" w:rsidR="00BB47CE" w:rsidRDefault="00BB47CE" w:rsidP="00BB47CE">
      <w:pPr>
        <w:pStyle w:val="TF-TEXTO"/>
      </w:pPr>
    </w:p>
    <w:p w14:paraId="0CEF8881" w14:textId="77777777" w:rsidR="00BB47CE" w:rsidRDefault="00BB47CE" w:rsidP="00BB47CE">
      <w:pPr>
        <w:pStyle w:val="TF-TEXTO"/>
      </w:pPr>
    </w:p>
    <w:p w14:paraId="5C547BE0" w14:textId="77777777" w:rsidR="00BB47CE" w:rsidRDefault="00BB47CE" w:rsidP="00BB47CE">
      <w:pPr>
        <w:pStyle w:val="Ttulo3"/>
      </w:pPr>
      <w:r w:rsidRPr="00692D68">
        <w:t>P</w:t>
      </w:r>
      <w:r>
        <w:t>rocessamento AGMO</w:t>
      </w:r>
    </w:p>
    <w:p w14:paraId="0C182904" w14:textId="77777777" w:rsidR="008A6ACC" w:rsidRDefault="008A6ACC" w:rsidP="008A6ACC">
      <w:pPr>
        <w:pStyle w:val="TF-TEXTO"/>
      </w:pPr>
    </w:p>
    <w:p w14:paraId="552E21C3" w14:textId="4840780D" w:rsidR="008A6ACC" w:rsidRDefault="008A6ACC" w:rsidP="008A6ACC">
      <w:pPr>
        <w:pStyle w:val="TF-TEXTO"/>
      </w:pPr>
      <w:r w:rsidRPr="008A6ACC">
        <w:t>A implementação do algoritmo genético multiobjetivo constitui o núcleo computacional do sistema de otimização, integrando conceitos avançados de computação evolutiva com teoria moderna de portfólios. O desenvolvimento seguiu abordagem modular que permite configuração adaptativa dos componentes algorítmicos baseada nas características específicas de cada problema de otimização.</w:t>
      </w:r>
    </w:p>
    <w:p w14:paraId="7FC6BA0A" w14:textId="21DEF41C" w:rsidR="008A6ACC" w:rsidRDefault="00C43473" w:rsidP="008A6ACC">
      <w:pPr>
        <w:pStyle w:val="TF-TEXTO"/>
      </w:pPr>
      <w:r>
        <w:t xml:space="preserve"> </w:t>
      </w:r>
    </w:p>
    <w:p w14:paraId="7632164C" w14:textId="46D9B72F" w:rsidR="008A6ACC" w:rsidRDefault="008A6ACC" w:rsidP="008A6ACC">
      <w:pPr>
        <w:pStyle w:val="TF-TEXTO"/>
      </w:pPr>
      <w:r>
        <w:t>-- imagem do pipeline do método otimizar --</w:t>
      </w:r>
    </w:p>
    <w:p w14:paraId="6385F471" w14:textId="77777777" w:rsidR="008A6ACC" w:rsidRDefault="008A6ACC" w:rsidP="008A6ACC">
      <w:pPr>
        <w:pStyle w:val="TF-TEXTO"/>
      </w:pPr>
    </w:p>
    <w:p w14:paraId="3E774859" w14:textId="7E5481D5" w:rsidR="008A6ACC" w:rsidRPr="002E2E4A" w:rsidRDefault="008A6ACC" w:rsidP="008A6ACC">
      <w:pPr>
        <w:pStyle w:val="Ttulo4"/>
      </w:pPr>
      <w:r>
        <w:t>Preparação dos dados</w:t>
      </w:r>
    </w:p>
    <w:p w14:paraId="21C2850F" w14:textId="4E3E0B3F" w:rsidR="008A6ACC" w:rsidRDefault="00E07FB4" w:rsidP="008A6ACC">
      <w:pPr>
        <w:pStyle w:val="TF-TEXTO"/>
      </w:pPr>
      <w:r w:rsidRPr="00E07FB4">
        <w:t xml:space="preserve">A preparação dos dados é uma das etapas mais determinantes no processo de otimização de portfólios, pois toda a análise de risco e retorno depende diretamente da qualidade das séries históricas utilizadas. </w:t>
      </w:r>
      <w:r w:rsidR="00014FF4">
        <w:t>E</w:t>
      </w:r>
      <w:r w:rsidRPr="00E07FB4">
        <w:t>sse papel é desempenhado pelo método _</w:t>
      </w:r>
      <w:proofErr w:type="spellStart"/>
      <w:r w:rsidRPr="00E07FB4">
        <w:t>prepare_data</w:t>
      </w:r>
      <w:proofErr w:type="spellEnd"/>
      <w:r w:rsidRPr="00E07FB4">
        <w:t>, responsável por transformar os dados brutos armazenados no banco em um conjunto estruturado e estatisticamente confiável para o algoritmo genético multiobjetivo.</w:t>
      </w:r>
    </w:p>
    <w:p w14:paraId="3808D624" w14:textId="3D918759" w:rsidR="00E07FB4" w:rsidRPr="00E07FB4" w:rsidRDefault="00E07FB4" w:rsidP="00E07FB4">
      <w:pPr>
        <w:pStyle w:val="TF-TEXTO"/>
      </w:pPr>
      <w:r w:rsidRPr="00E07FB4">
        <w:t>O método inicia consultando os ativos elegíveis e seus metadados, definindo assim o universo de investimento que será utilizado na otimização</w:t>
      </w:r>
      <w:r>
        <w:t>, e</w:t>
      </w:r>
      <w:r w:rsidRPr="00E07FB4">
        <w:t xml:space="preserve">m seguida, são carregados os </w:t>
      </w:r>
      <w:r w:rsidRPr="00E07FB4">
        <w:lastRenderedPageBreak/>
        <w:t>históricos de preços de cada ativo. Esses dados,</w:t>
      </w:r>
      <w:r>
        <w:t xml:space="preserve"> </w:t>
      </w:r>
      <w:r w:rsidRPr="00E07FB4">
        <w:t xml:space="preserve">são reorganizados em um </w:t>
      </w:r>
      <w:proofErr w:type="spellStart"/>
      <w:r w:rsidRPr="00E07FB4">
        <w:t>DataFrame</w:t>
      </w:r>
      <w:proofErr w:type="spellEnd"/>
      <w:r w:rsidRPr="00E07FB4">
        <w:t xml:space="preserve"> pivotado, no qual cada coluna representa um </w:t>
      </w:r>
      <w:proofErr w:type="spellStart"/>
      <w:r w:rsidRPr="00E07FB4">
        <w:t>ticker</w:t>
      </w:r>
      <w:proofErr w:type="spellEnd"/>
      <w:r w:rsidRPr="00E07FB4">
        <w:t xml:space="preserve"> e cada linha representa uma data. Essa estrutura matricial é essencial para o cálculo de retornos e para todas as operações vetorizadas que compõem o modelo de risco.</w:t>
      </w:r>
    </w:p>
    <w:p w14:paraId="460C0709" w14:textId="468635D5" w:rsidR="00E07FB4" w:rsidRPr="00E07FB4" w:rsidRDefault="00E07FB4" w:rsidP="00E07FB4">
      <w:pPr>
        <w:pStyle w:val="TF-TEXTO"/>
      </w:pPr>
      <w:r w:rsidRPr="00E07FB4">
        <w:t>Após o pivotamento, o método identifica o período mínimo de dados exigido</w:t>
      </w:r>
      <w:r w:rsidR="00433027">
        <w:t>,</w:t>
      </w:r>
      <w:r>
        <w:t xml:space="preserve"> sendo igual ao </w:t>
      </w:r>
      <w:r w:rsidRPr="00E07FB4">
        <w:t>período solicitado pelo usuário</w:t>
      </w:r>
      <w:r w:rsidR="00433027">
        <w:t xml:space="preserve"> como horizonte de investimentos</w:t>
      </w:r>
      <w:r w:rsidRPr="00E07FB4">
        <w:t xml:space="preserve">. Ativos que não atendem essa exigência são removidos imediatamente. Essa decisão </w:t>
      </w:r>
      <w:r>
        <w:t xml:space="preserve">tem como objetivo </w:t>
      </w:r>
      <w:r w:rsidR="00433027">
        <w:t>igualar todos os ativos com o mesmo período de dados históricos, para não ter injustiças na comparação entre eles.</w:t>
      </w:r>
    </w:p>
    <w:p w14:paraId="0FBE86EE" w14:textId="0AF635C8" w:rsidR="00AC522D" w:rsidRPr="00AC522D" w:rsidRDefault="00E07FB4" w:rsidP="00AC522D">
      <w:pPr>
        <w:pStyle w:val="TF-TEXTO"/>
      </w:pPr>
      <w:r w:rsidRPr="00E07FB4">
        <w:t xml:space="preserve">Com a filtragem inicial concluída, </w:t>
      </w:r>
      <w:r w:rsidR="00AC522D">
        <w:t xml:space="preserve">é gerado </w:t>
      </w:r>
      <w:r w:rsidR="00AC522D" w:rsidRPr="00AC522D">
        <w:t xml:space="preserve">duas estruturas essenciais para a otimização: o retorno médio e a matriz de covariância. O vetor </w:t>
      </w:r>
      <w:proofErr w:type="spellStart"/>
      <w:r w:rsidR="00AC522D" w:rsidRPr="00AC522D">
        <w:t>mean_returns</w:t>
      </w:r>
      <w:proofErr w:type="spellEnd"/>
      <w:r w:rsidR="00AC522D" w:rsidRPr="00AC522D">
        <w:t xml:space="preserve"> é criado a partir da média dos retornos de cada ativo, representando seu desempenho esperado no período. Em seguida, a matriz de covariância é calculada com </w:t>
      </w:r>
      <w:proofErr w:type="spellStart"/>
      <w:proofErr w:type="gramStart"/>
      <w:r w:rsidR="00AC522D" w:rsidRPr="00AC522D">
        <w:t>df_returns.cov</w:t>
      </w:r>
      <w:proofErr w:type="spellEnd"/>
      <w:r w:rsidR="00AC522D" w:rsidRPr="00AC522D">
        <w:t>(</w:t>
      </w:r>
      <w:proofErr w:type="gramEnd"/>
      <w:r w:rsidR="00AC522D" w:rsidRPr="00AC522D">
        <w:t>), capturando como os ativos variam juntos e permitindo estimar o risco do portfólio de forma conjunta, e não apenas individual. Esses dois elementos são armazenados para uso posterior pelo algoritmo, servindo de base para avaliar risco e retorno de cada solução candidata.</w:t>
      </w:r>
    </w:p>
    <w:p w14:paraId="5676AF0C" w14:textId="1B4B20FE" w:rsidR="00E07FB4" w:rsidRDefault="00E07FB4" w:rsidP="00E07FB4">
      <w:pPr>
        <w:pStyle w:val="TF-TEXTO"/>
      </w:pPr>
    </w:p>
    <w:p w14:paraId="7D04B3CC" w14:textId="2505F4BC" w:rsidR="008A6ACC" w:rsidRPr="008A6ACC" w:rsidRDefault="0062469A" w:rsidP="00160D2B">
      <w:pPr>
        <w:pStyle w:val="TF-TEXTO"/>
      </w:pPr>
      <w:r>
        <w:t>-- imagem do método _</w:t>
      </w:r>
      <w:proofErr w:type="spellStart"/>
      <w:r>
        <w:t>prepare_data</w:t>
      </w:r>
      <w:proofErr w:type="spellEnd"/>
      <w:r>
        <w:t xml:space="preserve"> --</w:t>
      </w:r>
    </w:p>
    <w:p w14:paraId="5737005C" w14:textId="7E68821E" w:rsidR="008A6ACC" w:rsidRDefault="0062469A" w:rsidP="008A6ACC">
      <w:pPr>
        <w:pStyle w:val="Ttulo4"/>
      </w:pPr>
      <w:r w:rsidRPr="0062469A">
        <w:t>Formulação Multiobjetivo do Problema</w:t>
      </w:r>
    </w:p>
    <w:p w14:paraId="6D4EA13C" w14:textId="39EAFAAF" w:rsidR="0062469A" w:rsidRDefault="0062469A" w:rsidP="0062469A">
      <w:pPr>
        <w:pStyle w:val="TF-TEXTO"/>
      </w:pPr>
      <w:r w:rsidRPr="0062469A">
        <w:t>A modelagem do problema de otimização de portfólios adota formulação tri-objetivo que captura trade-</w:t>
      </w:r>
      <w:proofErr w:type="spellStart"/>
      <w:r w:rsidRPr="0062469A">
        <w:t>offs</w:t>
      </w:r>
      <w:proofErr w:type="spellEnd"/>
      <w:r w:rsidRPr="0062469A">
        <w:t xml:space="preserve"> fundamentais enfrentados por investidores racionais. A classe </w:t>
      </w:r>
      <w:proofErr w:type="spellStart"/>
      <w:r w:rsidRPr="0062469A">
        <w:t>PersonalizedPortfolioProblem</w:t>
      </w:r>
      <w:proofErr w:type="spellEnd"/>
      <w:r w:rsidRPr="0062469A">
        <w:t xml:space="preserve"> estende </w:t>
      </w:r>
      <w:r w:rsidR="00B65451">
        <w:t>d</w:t>
      </w:r>
      <w:r w:rsidRPr="0062469A">
        <w:t xml:space="preserve">a interface </w:t>
      </w:r>
      <w:proofErr w:type="spellStart"/>
      <w:r w:rsidRPr="0062469A">
        <w:t>ElementwiseProblem</w:t>
      </w:r>
      <w:proofErr w:type="spellEnd"/>
      <w:r w:rsidRPr="0062469A">
        <w:t xml:space="preserve"> do </w:t>
      </w:r>
      <w:proofErr w:type="spellStart"/>
      <w:r w:rsidRPr="0062469A">
        <w:t>pymoo</w:t>
      </w:r>
      <w:proofErr w:type="spellEnd"/>
      <w:r w:rsidRPr="0062469A">
        <w:t>, implementando avaliação simultânea de três funções objetivo conflitantes.</w:t>
      </w:r>
    </w:p>
    <w:p w14:paraId="7C8C73CD" w14:textId="0801269C" w:rsidR="0062469A" w:rsidRPr="0062469A" w:rsidRDefault="0062469A" w:rsidP="0062469A">
      <w:pPr>
        <w:pStyle w:val="TF-TEXTO"/>
      </w:pPr>
      <w:r w:rsidRPr="0062469A">
        <w:t>O primeiro objetivo busca maximizar o retorno esperado do portfólio, calculado como média ponderada dos retornos históricos mensais.</w:t>
      </w:r>
      <w:r w:rsidR="00B65451">
        <w:t xml:space="preserve"> Como o método consolidado dos objetivos é minimizar, foi necessário inverter o sinal do número do retorno.</w:t>
      </w:r>
    </w:p>
    <w:p w14:paraId="33438D2A" w14:textId="77E7E333" w:rsidR="0062469A" w:rsidRPr="0062469A" w:rsidRDefault="0062469A" w:rsidP="0062469A">
      <w:pPr>
        <w:pStyle w:val="TF-TEXTO"/>
      </w:pPr>
      <w:r w:rsidRPr="0062469A">
        <w:t>O segundo objetivo minimiza a variância do portfólio,</w:t>
      </w:r>
      <w:r w:rsidR="00B65451">
        <w:t xml:space="preserve"> o </w:t>
      </w:r>
      <w:r w:rsidRPr="0062469A">
        <w:t>cálculo considera matriz completa de covariâncias. Esta formulação permite identificação de oportunidades de diversificação onde correlações negativas ou baixas reduzem risco total do portfólio.</w:t>
      </w:r>
    </w:p>
    <w:p w14:paraId="0DF5A931" w14:textId="3F3A563C" w:rsidR="00B65451" w:rsidRDefault="0062469A" w:rsidP="00B65451">
      <w:pPr>
        <w:pStyle w:val="TF-TEXTO"/>
      </w:pPr>
      <w:r w:rsidRPr="0062469A">
        <w:t xml:space="preserve">O terceiro objetivo </w:t>
      </w:r>
      <w:r w:rsidR="00B65451">
        <w:t>minimiza o</w:t>
      </w:r>
      <w:r w:rsidRPr="0062469A">
        <w:t xml:space="preserve"> </w:t>
      </w:r>
      <w:proofErr w:type="spellStart"/>
      <w:r w:rsidRPr="0062469A">
        <w:t>Conditional</w:t>
      </w:r>
      <w:proofErr w:type="spellEnd"/>
      <w:r w:rsidRPr="0062469A">
        <w:t xml:space="preserve"> </w:t>
      </w:r>
      <w:proofErr w:type="spellStart"/>
      <w:r w:rsidRPr="0062469A">
        <w:t>Value</w:t>
      </w:r>
      <w:proofErr w:type="spellEnd"/>
      <w:r w:rsidRPr="0062469A">
        <w:t xml:space="preserve"> </w:t>
      </w:r>
      <w:proofErr w:type="spellStart"/>
      <w:r w:rsidRPr="0062469A">
        <w:t>at</w:t>
      </w:r>
      <w:proofErr w:type="spellEnd"/>
      <w:r w:rsidRPr="0062469A">
        <w:t xml:space="preserve"> Risk (</w:t>
      </w:r>
      <w:proofErr w:type="spellStart"/>
      <w:r w:rsidRPr="0062469A">
        <w:t>CVaR</w:t>
      </w:r>
      <w:proofErr w:type="spellEnd"/>
      <w:r w:rsidRPr="0062469A">
        <w:t>), medida moderna de risco que quantifica perda esperada nos piores cenários. A implementação utiliza abordagem empírica baseada em simulação histórica</w:t>
      </w:r>
      <w:r>
        <w:t>. Colocar fórmula matemática aqui?</w:t>
      </w:r>
    </w:p>
    <w:p w14:paraId="6FE3CBDD" w14:textId="77777777" w:rsidR="00B65451" w:rsidRDefault="00B65451" w:rsidP="00B65451">
      <w:pPr>
        <w:pStyle w:val="TF-TEXTO"/>
      </w:pPr>
    </w:p>
    <w:p w14:paraId="1D8F8946" w14:textId="1A5EE86B" w:rsidR="00160D2B" w:rsidRDefault="00160D2B" w:rsidP="00160D2B">
      <w:pPr>
        <w:pStyle w:val="Ttulo4"/>
      </w:pPr>
      <w:r>
        <w:lastRenderedPageBreak/>
        <w:t xml:space="preserve">Algoritmo </w:t>
      </w:r>
      <w:r w:rsidR="00B65451">
        <w:t>R-</w:t>
      </w:r>
      <w:r>
        <w:t>NSGA2</w:t>
      </w:r>
    </w:p>
    <w:p w14:paraId="084015C3" w14:textId="77777777" w:rsidR="00160D2B" w:rsidRPr="0062469A" w:rsidRDefault="00160D2B" w:rsidP="0062469A">
      <w:pPr>
        <w:pStyle w:val="TF-TEXTO"/>
      </w:pPr>
    </w:p>
    <w:p w14:paraId="1DDE1EC1" w14:textId="77777777" w:rsidR="0062469A" w:rsidRPr="0062469A" w:rsidRDefault="0062469A" w:rsidP="0062469A">
      <w:pPr>
        <w:pStyle w:val="TF-TEXTO"/>
      </w:pPr>
    </w:p>
    <w:p w14:paraId="5970CB60" w14:textId="77777777" w:rsidR="008A6ACC" w:rsidRPr="008A6ACC" w:rsidRDefault="008A6ACC" w:rsidP="008A6ACC">
      <w:pPr>
        <w:pStyle w:val="TF-TEXTO"/>
      </w:pPr>
    </w:p>
    <w:p w14:paraId="064DCF65" w14:textId="314AE7DA" w:rsidR="008A6ACC" w:rsidRDefault="008A6ACC" w:rsidP="008A6ACC">
      <w:pPr>
        <w:pStyle w:val="Ttulo4"/>
      </w:pPr>
      <w:proofErr w:type="spellStart"/>
      <w:r>
        <w:t>Backtest</w:t>
      </w:r>
      <w:proofErr w:type="spellEnd"/>
      <w:r w:rsidR="00160D2B">
        <w:t xml:space="preserve"> e Comparação com Benchmark</w:t>
      </w:r>
    </w:p>
    <w:p w14:paraId="3021375D" w14:textId="1D2C5CC0" w:rsidR="00BB47CE" w:rsidRDefault="0062469A" w:rsidP="00BB47CE">
      <w:pPr>
        <w:pStyle w:val="TF-TEXTO"/>
      </w:pPr>
      <w:r w:rsidRPr="0062469A">
        <w:t xml:space="preserve">O serviço também oferece a possibilidade de definir uma data de referência como parâmetro de entrada na otimização. Quando essa data é informada, o método limita o conjunto de dados históricos apenas ao período anterior a ela, criando uma simulação realista de como a carteira teria sido construída com as informações disponíveis naquele momento. Esse recurso funciona como uma forma de </w:t>
      </w:r>
      <w:proofErr w:type="spellStart"/>
      <w:r w:rsidRPr="0062469A">
        <w:t>backtest</w:t>
      </w:r>
      <w:proofErr w:type="spellEnd"/>
      <w:r w:rsidRPr="0062469A">
        <w:t xml:space="preserve"> interno, permitindo avaliar se a carteira otimizada com dados realmente passados teria apresentado um comportamento consistente ao longo do tempo.</w:t>
      </w:r>
    </w:p>
    <w:p w14:paraId="0555AF59" w14:textId="21A49205" w:rsidR="00BB47CE" w:rsidRDefault="00160D2B" w:rsidP="00BB47CE">
      <w:pPr>
        <w:pStyle w:val="TF-TEXTO"/>
      </w:pPr>
      <w:r w:rsidRPr="00160D2B">
        <w:t xml:space="preserve">A partir dessa funcionalidade, foi implementada uma rotina específica para comparar o desempenho da carteira consolidada no </w:t>
      </w:r>
      <w:proofErr w:type="spellStart"/>
      <w:r w:rsidRPr="00160D2B">
        <w:t>backtest</w:t>
      </w:r>
      <w:proofErr w:type="spellEnd"/>
      <w:r w:rsidRPr="00160D2B">
        <w:t xml:space="preserve"> com um benchmark de mercado. No caso deste projeto, utilizou-se o Ibovespa como referência, por ser o principal índice da bolsa brasileira e um parâmetro amplamente adotado na avaliação de estratégias de investimento</w:t>
      </w:r>
    </w:p>
    <w:p w14:paraId="1273365B" w14:textId="77777777" w:rsidR="00160D2B" w:rsidRDefault="00160D2B" w:rsidP="00160D2B">
      <w:pPr>
        <w:pStyle w:val="TF-TEXTO"/>
        <w:ind w:firstLine="0"/>
      </w:pPr>
    </w:p>
    <w:p w14:paraId="3103A65E" w14:textId="7BA87338" w:rsidR="00160D2B" w:rsidRDefault="00160D2B" w:rsidP="00BB47CE">
      <w:pPr>
        <w:pStyle w:val="TF-TEXTO"/>
      </w:pPr>
      <w:r>
        <w:t xml:space="preserve">-- imagem do comparativo entre o </w:t>
      </w:r>
      <w:proofErr w:type="spellStart"/>
      <w:r>
        <w:t>ibovespa</w:t>
      </w:r>
      <w:proofErr w:type="spellEnd"/>
      <w:r>
        <w:t xml:space="preserve"> –</w:t>
      </w:r>
    </w:p>
    <w:p w14:paraId="74E2B96D" w14:textId="77777777" w:rsidR="00160D2B" w:rsidRDefault="00160D2B" w:rsidP="00BB47CE">
      <w:pPr>
        <w:pStyle w:val="TF-TEXTO"/>
      </w:pPr>
    </w:p>
    <w:p w14:paraId="3450FFC8" w14:textId="77777777" w:rsidR="00014FF4" w:rsidRDefault="00014FF4" w:rsidP="00BB47CE">
      <w:pPr>
        <w:pStyle w:val="TF-TEXTO"/>
      </w:pPr>
    </w:p>
    <w:p w14:paraId="72096518" w14:textId="77777777" w:rsidR="00014FF4" w:rsidRDefault="00014FF4" w:rsidP="00BB47CE">
      <w:pPr>
        <w:pStyle w:val="TF-TEXTO"/>
      </w:pPr>
    </w:p>
    <w:p w14:paraId="3B624CED" w14:textId="62B9E945" w:rsidR="00014FF4" w:rsidRDefault="00014FF4" w:rsidP="00BB47CE">
      <w:pPr>
        <w:pStyle w:val="TF-TEXTO"/>
      </w:pPr>
      <w:r>
        <w:t>Texto tomando conclusão dos gráficos</w:t>
      </w:r>
    </w:p>
    <w:p w14:paraId="5E19A080" w14:textId="77777777" w:rsidR="00160D2B" w:rsidRDefault="00160D2B" w:rsidP="00BB47CE">
      <w:pPr>
        <w:pStyle w:val="TF-TEXTO"/>
      </w:pPr>
    </w:p>
    <w:p w14:paraId="4334A487" w14:textId="63F75AA9" w:rsidR="00BB47CE" w:rsidRDefault="00BB47CE" w:rsidP="00BB47CE">
      <w:pPr>
        <w:pStyle w:val="Ttulo3"/>
      </w:pPr>
      <w:r>
        <w:t>API</w:t>
      </w:r>
    </w:p>
    <w:p w14:paraId="59AE1923" w14:textId="7A16C9D5" w:rsidR="00BB47CE" w:rsidRDefault="00BB47CE" w:rsidP="00014FF4">
      <w:pPr>
        <w:pStyle w:val="TF-TEXTO"/>
      </w:pPr>
      <w:r w:rsidRPr="00A35535">
        <w:t xml:space="preserve">A arquitetura da API REST segue princípios </w:t>
      </w:r>
      <w:proofErr w:type="spellStart"/>
      <w:r w:rsidRPr="00A35535">
        <w:t>RESTful</w:t>
      </w:r>
      <w:proofErr w:type="spellEnd"/>
      <w:r w:rsidRPr="00A35535">
        <w:t xml:space="preserve"> estabelecidos, implementando </w:t>
      </w:r>
      <w:proofErr w:type="spellStart"/>
      <w:r w:rsidRPr="00A35535">
        <w:t>endpoints</w:t>
      </w:r>
      <w:proofErr w:type="spellEnd"/>
      <w:r w:rsidRPr="00A35535">
        <w:t xml:space="preserve"> semanticamente corretos para operações CRUD sobre recursos do sistema. A estrutura modular baseada em </w:t>
      </w:r>
      <w:proofErr w:type="spellStart"/>
      <w:r w:rsidRPr="00A35535">
        <w:t>Flask</w:t>
      </w:r>
      <w:proofErr w:type="spellEnd"/>
      <w:r w:rsidRPr="00A35535">
        <w:t xml:space="preserve"> </w:t>
      </w:r>
      <w:proofErr w:type="spellStart"/>
      <w:r w:rsidRPr="00A35535">
        <w:t>Blueprints</w:t>
      </w:r>
      <w:proofErr w:type="spellEnd"/>
      <w:r w:rsidRPr="00A35535">
        <w:t xml:space="preserve"> organiza rotas em módulos coesos, facilitando manutenção e evolução independente de funcionalidades.</w:t>
      </w:r>
    </w:p>
    <w:p w14:paraId="07074888" w14:textId="764BA50D" w:rsidR="00BB47CE" w:rsidRPr="00A35535" w:rsidRDefault="00BB47CE" w:rsidP="00BB47CE">
      <w:pPr>
        <w:pStyle w:val="TF-TEXTO"/>
      </w:pPr>
      <w:r w:rsidRPr="00A35535">
        <w:t>O sistema de autenticação</w:t>
      </w:r>
      <w:r w:rsidR="00014FF4">
        <w:t xml:space="preserve"> da API</w:t>
      </w:r>
      <w:r w:rsidRPr="00A35535">
        <w:t xml:space="preserve"> implementa JSON Web Tokens (JWT), escolha fundamentada em suas características de </w:t>
      </w:r>
      <w:proofErr w:type="spellStart"/>
      <w:r w:rsidRPr="00A35535">
        <w:t>statelessness</w:t>
      </w:r>
      <w:proofErr w:type="spellEnd"/>
      <w:r w:rsidRPr="00A35535">
        <w:t xml:space="preserve"> e capacidade de carregar </w:t>
      </w:r>
      <w:proofErr w:type="spellStart"/>
      <w:r w:rsidRPr="00A35535">
        <w:t>claims</w:t>
      </w:r>
      <w:proofErr w:type="spellEnd"/>
      <w:r w:rsidRPr="00A35535">
        <w:t xml:space="preserve"> customizados. Cada token contém identificador único do usuário e </w:t>
      </w:r>
      <w:proofErr w:type="spellStart"/>
      <w:r w:rsidRPr="00A35535">
        <w:t>timestamp</w:t>
      </w:r>
      <w:proofErr w:type="spellEnd"/>
      <w:r w:rsidRPr="00A35535">
        <w:t xml:space="preserve"> de expiração, eliminando necessidade de armazenamento </w:t>
      </w:r>
      <w:proofErr w:type="gramStart"/>
      <w:r w:rsidRPr="00A35535">
        <w:t>server</w:t>
      </w:r>
      <w:proofErr w:type="gramEnd"/>
      <w:r w:rsidRPr="00A35535">
        <w:t>-</w:t>
      </w:r>
      <w:proofErr w:type="spellStart"/>
      <w:r w:rsidRPr="00A35535">
        <w:t>side</w:t>
      </w:r>
      <w:proofErr w:type="spellEnd"/>
      <w:r w:rsidRPr="00A35535">
        <w:t xml:space="preserve"> de sessões.</w:t>
      </w:r>
    </w:p>
    <w:p w14:paraId="3D7643B3" w14:textId="77777777" w:rsidR="00BB47CE" w:rsidRPr="00A35535" w:rsidRDefault="00BB47CE" w:rsidP="00BB47CE">
      <w:pPr>
        <w:pStyle w:val="TF-TEXTO"/>
      </w:pPr>
      <w:r w:rsidRPr="00A35535">
        <w:lastRenderedPageBreak/>
        <w:t xml:space="preserve">A geração de tokens utiliza </w:t>
      </w:r>
      <w:proofErr w:type="spellStart"/>
      <w:r w:rsidRPr="00A35535">
        <w:t>secret</w:t>
      </w:r>
      <w:proofErr w:type="spellEnd"/>
      <w:r w:rsidRPr="00A35535">
        <w:t xml:space="preserve"> </w:t>
      </w:r>
      <w:proofErr w:type="spellStart"/>
      <w:r w:rsidRPr="00A35535">
        <w:t>key</w:t>
      </w:r>
      <w:proofErr w:type="spellEnd"/>
      <w:r w:rsidRPr="00A35535">
        <w:t xml:space="preserve"> configurável com entropia adequada, garantindo impossibilidade prática de falsificação. O </w:t>
      </w:r>
      <w:proofErr w:type="spellStart"/>
      <w:r w:rsidRPr="00A35535">
        <w:t>payload</w:t>
      </w:r>
      <w:proofErr w:type="spellEnd"/>
      <w:r w:rsidRPr="00A35535">
        <w:t xml:space="preserve"> mínimo reduz overhead de transmissão enquanto mantém informações essenciais para autorização. A expiração configurável permite balanço entre segurança e conveniência do usuário.</w:t>
      </w:r>
    </w:p>
    <w:p w14:paraId="7D101000" w14:textId="77777777" w:rsidR="00BB47CE" w:rsidRPr="00A35535" w:rsidRDefault="00BB47CE" w:rsidP="00BB47CE">
      <w:pPr>
        <w:pStyle w:val="TF-TEXTO"/>
      </w:pPr>
      <w:r w:rsidRPr="00A35535">
        <w:t xml:space="preserve">O middleware de proteção intercepta requisições a </w:t>
      </w:r>
      <w:proofErr w:type="spellStart"/>
      <w:r w:rsidRPr="00A35535">
        <w:t>endpoints</w:t>
      </w:r>
      <w:proofErr w:type="spellEnd"/>
      <w:r w:rsidRPr="00A35535">
        <w:t xml:space="preserve"> protegidos, extraindo e validando tokens do header </w:t>
      </w:r>
      <w:proofErr w:type="spellStart"/>
      <w:r w:rsidRPr="00A35535">
        <w:t>Authorization</w:t>
      </w:r>
      <w:proofErr w:type="spellEnd"/>
      <w:r w:rsidRPr="00A35535">
        <w:t xml:space="preserve">. A validação verifica assinatura criptográfica, expiração temporal e revogação opcional através de </w:t>
      </w:r>
      <w:proofErr w:type="spellStart"/>
      <w:r w:rsidRPr="00A35535">
        <w:t>blacklist</w:t>
      </w:r>
      <w:proofErr w:type="spellEnd"/>
      <w:r w:rsidRPr="00A35535">
        <w:t xml:space="preserve">. Requisições com tokens inválidos ou ausentes recebem resposta 401 </w:t>
      </w:r>
      <w:proofErr w:type="spellStart"/>
      <w:r w:rsidRPr="00A35535">
        <w:t>Unauthorized</w:t>
      </w:r>
      <w:proofErr w:type="spellEnd"/>
      <w:r w:rsidRPr="00A35535">
        <w:t xml:space="preserve"> imediata.</w:t>
      </w:r>
    </w:p>
    <w:p w14:paraId="167CB4E2" w14:textId="71517C8C" w:rsidR="00BB47CE" w:rsidRDefault="00BB47CE" w:rsidP="00AC522D">
      <w:pPr>
        <w:pStyle w:val="TF-TEXTO"/>
      </w:pPr>
      <w:r w:rsidRPr="00A35535">
        <w:t xml:space="preserve">A implementação de rate </w:t>
      </w:r>
      <w:proofErr w:type="spellStart"/>
      <w:r w:rsidRPr="00A35535">
        <w:t>limiting</w:t>
      </w:r>
      <w:proofErr w:type="spellEnd"/>
      <w:r w:rsidRPr="00A35535">
        <w:t xml:space="preserve"> através de </w:t>
      </w:r>
      <w:proofErr w:type="spellStart"/>
      <w:r w:rsidRPr="00A35535">
        <w:t>Flask-Limiter</w:t>
      </w:r>
      <w:proofErr w:type="spellEnd"/>
      <w:r w:rsidRPr="00A35535">
        <w:t xml:space="preserve"> previne ataques de força bruta e </w:t>
      </w:r>
      <w:proofErr w:type="spellStart"/>
      <w:r w:rsidRPr="00A35535">
        <w:t>denial</w:t>
      </w:r>
      <w:proofErr w:type="spellEnd"/>
      <w:r w:rsidRPr="00A35535">
        <w:t xml:space="preserve"> </w:t>
      </w:r>
      <w:proofErr w:type="spellStart"/>
      <w:r w:rsidRPr="00A35535">
        <w:t>of</w:t>
      </w:r>
      <w:proofErr w:type="spellEnd"/>
      <w:r w:rsidRPr="00A35535">
        <w:t xml:space="preserve"> </w:t>
      </w:r>
      <w:proofErr w:type="spellStart"/>
      <w:r w:rsidRPr="00A35535">
        <w:t>service</w:t>
      </w:r>
      <w:proofErr w:type="spellEnd"/>
      <w:r w:rsidRPr="00A35535">
        <w:t xml:space="preserve">. Limites diferenciados aplicam-se a </w:t>
      </w:r>
      <w:proofErr w:type="spellStart"/>
      <w:r w:rsidRPr="00A35535">
        <w:t>endpoints</w:t>
      </w:r>
      <w:proofErr w:type="spellEnd"/>
      <w:r w:rsidRPr="00A35535">
        <w:t xml:space="preserve"> sensíveis como login (5 tentativas por minuto) e otimização (10 requisições por hora), balanceando segurança com usabilidade legítima.</w:t>
      </w:r>
    </w:p>
    <w:p w14:paraId="2E3E4BAB" w14:textId="77777777" w:rsidR="00B65451" w:rsidRDefault="00B65451" w:rsidP="00AC522D">
      <w:pPr>
        <w:pStyle w:val="TF-TEXTO"/>
      </w:pPr>
    </w:p>
    <w:p w14:paraId="6A8CDF09" w14:textId="3E824250" w:rsidR="00B65451" w:rsidRDefault="00B65451" w:rsidP="00AC522D">
      <w:pPr>
        <w:pStyle w:val="TF-TEXTO"/>
      </w:pPr>
      <w:r>
        <w:t>-- imagem do método de login –</w:t>
      </w:r>
    </w:p>
    <w:p w14:paraId="0DCC8310" w14:textId="77777777" w:rsidR="00B65451" w:rsidRDefault="00B65451" w:rsidP="00AC522D">
      <w:pPr>
        <w:pStyle w:val="TF-TEXTO"/>
      </w:pPr>
    </w:p>
    <w:p w14:paraId="1D301FAA" w14:textId="672F57C3" w:rsidR="00B65451" w:rsidRDefault="00B65451" w:rsidP="00AC522D">
      <w:pPr>
        <w:pStyle w:val="TF-TEXTO"/>
      </w:pPr>
      <w:r>
        <w:t>-- imagem do método de otimizar carteira para mostrar a comunicação --</w:t>
      </w:r>
    </w:p>
    <w:p w14:paraId="4933FB1F" w14:textId="77777777" w:rsidR="00BB47CE" w:rsidRPr="008129AE" w:rsidRDefault="00BB47CE" w:rsidP="00BB47CE"/>
    <w:p w14:paraId="4A143BFD" w14:textId="77777777" w:rsidR="00E64404" w:rsidRDefault="00E64404" w:rsidP="00BB47CE">
      <w:pPr>
        <w:pStyle w:val="TF-TEXTO"/>
        <w:ind w:firstLine="0"/>
      </w:pPr>
    </w:p>
    <w:sectPr w:rsidR="00E64404" w:rsidSect="00E9731C">
      <w:headerReference w:type="default" r:id="rId11"/>
      <w:pgSz w:w="11907" w:h="16840" w:code="9"/>
      <w:pgMar w:top="1701" w:right="1134" w:bottom="1134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56425" w14:textId="77777777" w:rsidR="00306EE0" w:rsidRDefault="00306EE0">
      <w:r>
        <w:separator/>
      </w:r>
    </w:p>
    <w:p w14:paraId="465F8CC6" w14:textId="77777777" w:rsidR="00306EE0" w:rsidRDefault="00306EE0"/>
  </w:endnote>
  <w:endnote w:type="continuationSeparator" w:id="0">
    <w:p w14:paraId="081D7B5B" w14:textId="77777777" w:rsidR="00306EE0" w:rsidRDefault="00306EE0">
      <w:r>
        <w:continuationSeparator/>
      </w:r>
    </w:p>
    <w:p w14:paraId="6E120190" w14:textId="77777777" w:rsidR="00306EE0" w:rsidRDefault="00306E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84759" w14:textId="77777777" w:rsidR="00306EE0" w:rsidRDefault="00306EE0">
      <w:r>
        <w:separator/>
      </w:r>
    </w:p>
    <w:p w14:paraId="19D5F03C" w14:textId="77777777" w:rsidR="00306EE0" w:rsidRDefault="00306EE0"/>
  </w:footnote>
  <w:footnote w:type="continuationSeparator" w:id="0">
    <w:p w14:paraId="76F1DA61" w14:textId="77777777" w:rsidR="00306EE0" w:rsidRDefault="00306EE0">
      <w:r>
        <w:continuationSeparator/>
      </w:r>
    </w:p>
    <w:p w14:paraId="3753C5DB" w14:textId="77777777" w:rsidR="00306EE0" w:rsidRDefault="00306EE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63D83" w14:textId="77777777" w:rsidR="00F530D7" w:rsidRDefault="00F530D7">
    <w:pPr>
      <w:pStyle w:val="Cabealho"/>
      <w:tabs>
        <w:tab w:val="clear" w:pos="8640"/>
        <w:tab w:val="right" w:pos="8931"/>
      </w:tabs>
      <w:ind w:right="141"/>
      <w:jc w:val="right"/>
      <w:rPr>
        <w:rStyle w:val="Nmerodepgina"/>
      </w:rPr>
    </w:pPr>
  </w:p>
  <w:p w14:paraId="006272C1" w14:textId="77777777" w:rsidR="00F530D7" w:rsidRDefault="00F530D7">
    <w:pPr>
      <w:pStyle w:val="Cabealho"/>
      <w:framePr w:wrap="around" w:vAnchor="text" w:hAnchor="page" w:x="10544" w:y="-5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1A2D50">
      <w:rPr>
        <w:rStyle w:val="Nmerodepgina"/>
        <w:noProof/>
      </w:rPr>
      <w:t>13</w:t>
    </w:r>
    <w:r>
      <w:rPr>
        <w:rStyle w:val="Nmerodepgina"/>
      </w:rPr>
      <w:fldChar w:fldCharType="end"/>
    </w:r>
  </w:p>
  <w:p w14:paraId="5BD91760" w14:textId="77777777" w:rsidR="00F530D7" w:rsidRDefault="00F530D7">
    <w:pPr>
      <w:pStyle w:val="Cabealho"/>
      <w:tabs>
        <w:tab w:val="clear" w:pos="8640"/>
        <w:tab w:val="right" w:pos="8931"/>
      </w:tabs>
      <w:ind w:right="141"/>
    </w:pPr>
  </w:p>
  <w:p w14:paraId="32629FBC" w14:textId="77777777" w:rsidR="00F530D7" w:rsidRDefault="00F530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98EE918E"/>
    <w:lvl w:ilvl="0">
      <w:start w:val="1"/>
      <w:numFmt w:val="decimal"/>
      <w:pStyle w:val="Ttulo1"/>
      <w:lvlText w:val="%1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A16169"/>
    <w:multiLevelType w:val="multilevel"/>
    <w:tmpl w:val="F830E660"/>
    <w:lvl w:ilvl="0">
      <w:start w:val="1"/>
      <w:numFmt w:val="lowerLetter"/>
      <w:lvlText w:val="%1)"/>
      <w:lvlJc w:val="left"/>
      <w:pPr>
        <w:tabs>
          <w:tab w:val="num" w:pos="1040"/>
        </w:tabs>
        <w:ind w:left="992" w:hanging="312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398"/>
        </w:tabs>
        <w:ind w:left="1134" w:hanging="96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21"/>
        </w:tabs>
        <w:ind w:left="1588" w:hanging="22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D7F68A2"/>
    <w:multiLevelType w:val="multilevel"/>
    <w:tmpl w:val="4DA63132"/>
    <w:lvl w:ilvl="0">
      <w:start w:val="1"/>
      <w:numFmt w:val="lowerLetter"/>
      <w:pStyle w:val="TF-ALNEA"/>
      <w:lvlText w:val="%1)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>
      <w:start w:val="1"/>
      <w:numFmt w:val="none"/>
      <w:pStyle w:val="TF-SUBALNEAnvel1"/>
      <w:lvlText w:val="-"/>
      <w:lvlJc w:val="left"/>
      <w:pPr>
        <w:tabs>
          <w:tab w:val="num" w:pos="1418"/>
        </w:tabs>
        <w:ind w:left="1418" w:hanging="380"/>
      </w:pPr>
      <w:rPr>
        <w:rFonts w:hint="default"/>
      </w:rPr>
    </w:lvl>
    <w:lvl w:ilvl="2">
      <w:start w:val="1"/>
      <w:numFmt w:val="none"/>
      <w:pStyle w:val="TF-SUBALNEAnvel2"/>
      <w:lvlText w:val="%3-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49F455E9"/>
    <w:multiLevelType w:val="hybridMultilevel"/>
    <w:tmpl w:val="06986E5E"/>
    <w:lvl w:ilvl="0" w:tplc="E8D8285E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4DEE787F"/>
    <w:multiLevelType w:val="hybridMultilevel"/>
    <w:tmpl w:val="D8EEC700"/>
    <w:lvl w:ilvl="0" w:tplc="FFFFFFFF">
      <w:start w:val="200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866A3A"/>
    <w:multiLevelType w:val="hybridMultilevel"/>
    <w:tmpl w:val="1ED64EFE"/>
    <w:lvl w:ilvl="0" w:tplc="04160017">
      <w:start w:val="1"/>
      <w:numFmt w:val="lowerLetter"/>
      <w:lvlText w:val="%1)"/>
      <w:lvlJc w:val="left"/>
      <w:pPr>
        <w:ind w:left="927" w:hanging="360"/>
      </w:p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A3F09DC"/>
    <w:multiLevelType w:val="multilevel"/>
    <w:tmpl w:val="C7B4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431267">
    <w:abstractNumId w:val="0"/>
  </w:num>
  <w:num w:numId="2" w16cid:durableId="1242762824">
    <w:abstractNumId w:val="2"/>
  </w:num>
  <w:num w:numId="3" w16cid:durableId="4231910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5194213">
    <w:abstractNumId w:val="1"/>
  </w:num>
  <w:num w:numId="5" w16cid:durableId="5469180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219873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23326717">
    <w:abstractNumId w:val="4"/>
  </w:num>
  <w:num w:numId="8" w16cid:durableId="781264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100562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90010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870095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40249168">
    <w:abstractNumId w:val="3"/>
  </w:num>
  <w:num w:numId="13" w16cid:durableId="151913869">
    <w:abstractNumId w:val="6"/>
  </w:num>
  <w:num w:numId="14" w16cid:durableId="529730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NotTrackMoves/>
  <w:defaultTabStop w:val="709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240"/>
    <w:rsid w:val="0001092B"/>
    <w:rsid w:val="00012922"/>
    <w:rsid w:val="00014FF4"/>
    <w:rsid w:val="00015300"/>
    <w:rsid w:val="0001575C"/>
    <w:rsid w:val="000204E7"/>
    <w:rsid w:val="00023FA0"/>
    <w:rsid w:val="000256B9"/>
    <w:rsid w:val="0002602F"/>
    <w:rsid w:val="00030E4A"/>
    <w:rsid w:val="00031A27"/>
    <w:rsid w:val="0003584A"/>
    <w:rsid w:val="00036552"/>
    <w:rsid w:val="0004170F"/>
    <w:rsid w:val="000553C5"/>
    <w:rsid w:val="000608E9"/>
    <w:rsid w:val="000667DF"/>
    <w:rsid w:val="00066E43"/>
    <w:rsid w:val="00075792"/>
    <w:rsid w:val="000909F1"/>
    <w:rsid w:val="00097095"/>
    <w:rsid w:val="000A0E30"/>
    <w:rsid w:val="000A104C"/>
    <w:rsid w:val="000A3D53"/>
    <w:rsid w:val="000A3EAB"/>
    <w:rsid w:val="000B15ED"/>
    <w:rsid w:val="000B1EA3"/>
    <w:rsid w:val="000B206A"/>
    <w:rsid w:val="000B33BD"/>
    <w:rsid w:val="000B3868"/>
    <w:rsid w:val="000C1926"/>
    <w:rsid w:val="000C1A18"/>
    <w:rsid w:val="000E039E"/>
    <w:rsid w:val="000E27F9"/>
    <w:rsid w:val="000E2B1E"/>
    <w:rsid w:val="000E2EFA"/>
    <w:rsid w:val="000E311F"/>
    <w:rsid w:val="000E3A68"/>
    <w:rsid w:val="000E6CE0"/>
    <w:rsid w:val="000F77E3"/>
    <w:rsid w:val="00107B02"/>
    <w:rsid w:val="001164FE"/>
    <w:rsid w:val="00134D87"/>
    <w:rsid w:val="00141515"/>
    <w:rsid w:val="00142E14"/>
    <w:rsid w:val="00145F4F"/>
    <w:rsid w:val="001554E9"/>
    <w:rsid w:val="00157203"/>
    <w:rsid w:val="00157CDF"/>
    <w:rsid w:val="00160D2B"/>
    <w:rsid w:val="00162BF1"/>
    <w:rsid w:val="0016560C"/>
    <w:rsid w:val="00187CDA"/>
    <w:rsid w:val="001A2D50"/>
    <w:rsid w:val="001A6292"/>
    <w:rsid w:val="001B2F1E"/>
    <w:rsid w:val="001B55BA"/>
    <w:rsid w:val="001C5CBB"/>
    <w:rsid w:val="001C6722"/>
    <w:rsid w:val="001D42D9"/>
    <w:rsid w:val="001E4E1A"/>
    <w:rsid w:val="001F0244"/>
    <w:rsid w:val="001F157C"/>
    <w:rsid w:val="00202F3F"/>
    <w:rsid w:val="00211FD7"/>
    <w:rsid w:val="00215872"/>
    <w:rsid w:val="00217888"/>
    <w:rsid w:val="00224BB2"/>
    <w:rsid w:val="00230C7C"/>
    <w:rsid w:val="00235240"/>
    <w:rsid w:val="002368FD"/>
    <w:rsid w:val="0024264F"/>
    <w:rsid w:val="002440B0"/>
    <w:rsid w:val="00251A81"/>
    <w:rsid w:val="00256F17"/>
    <w:rsid w:val="00262210"/>
    <w:rsid w:val="00281878"/>
    <w:rsid w:val="00283B2E"/>
    <w:rsid w:val="0028617A"/>
    <w:rsid w:val="002921C1"/>
    <w:rsid w:val="0029608A"/>
    <w:rsid w:val="002961E3"/>
    <w:rsid w:val="00297AC5"/>
    <w:rsid w:val="002A272A"/>
    <w:rsid w:val="002A2912"/>
    <w:rsid w:val="002B4718"/>
    <w:rsid w:val="002E6DD1"/>
    <w:rsid w:val="002F027E"/>
    <w:rsid w:val="0030664D"/>
    <w:rsid w:val="00306EE0"/>
    <w:rsid w:val="00312CEA"/>
    <w:rsid w:val="00326385"/>
    <w:rsid w:val="00330F72"/>
    <w:rsid w:val="00331252"/>
    <w:rsid w:val="00335048"/>
    <w:rsid w:val="00340203"/>
    <w:rsid w:val="00340B6D"/>
    <w:rsid w:val="00344540"/>
    <w:rsid w:val="003522AE"/>
    <w:rsid w:val="00356F49"/>
    <w:rsid w:val="00362443"/>
    <w:rsid w:val="0036523A"/>
    <w:rsid w:val="00383087"/>
    <w:rsid w:val="003856AE"/>
    <w:rsid w:val="003A2A12"/>
    <w:rsid w:val="003A2B7D"/>
    <w:rsid w:val="003A4A75"/>
    <w:rsid w:val="003B647A"/>
    <w:rsid w:val="003E4F19"/>
    <w:rsid w:val="0040436D"/>
    <w:rsid w:val="00410543"/>
    <w:rsid w:val="004173CC"/>
    <w:rsid w:val="0042356B"/>
    <w:rsid w:val="00424230"/>
    <w:rsid w:val="004243D2"/>
    <w:rsid w:val="00424610"/>
    <w:rsid w:val="0043017A"/>
    <w:rsid w:val="00432731"/>
    <w:rsid w:val="00433027"/>
    <w:rsid w:val="00445FCD"/>
    <w:rsid w:val="00450876"/>
    <w:rsid w:val="004678EB"/>
    <w:rsid w:val="00470725"/>
    <w:rsid w:val="00475073"/>
    <w:rsid w:val="00476C78"/>
    <w:rsid w:val="0048576D"/>
    <w:rsid w:val="0049495C"/>
    <w:rsid w:val="00497EF6"/>
    <w:rsid w:val="004B1292"/>
    <w:rsid w:val="004B1DE0"/>
    <w:rsid w:val="004B6B8F"/>
    <w:rsid w:val="004B7511"/>
    <w:rsid w:val="004C68F0"/>
    <w:rsid w:val="004D0724"/>
    <w:rsid w:val="004D0C07"/>
    <w:rsid w:val="004F5F50"/>
    <w:rsid w:val="00503373"/>
    <w:rsid w:val="005156AB"/>
    <w:rsid w:val="00517CE1"/>
    <w:rsid w:val="00520FDC"/>
    <w:rsid w:val="00523511"/>
    <w:rsid w:val="00523BFD"/>
    <w:rsid w:val="00530BD8"/>
    <w:rsid w:val="005348D6"/>
    <w:rsid w:val="00536336"/>
    <w:rsid w:val="00542ED7"/>
    <w:rsid w:val="00544DF2"/>
    <w:rsid w:val="00550D4A"/>
    <w:rsid w:val="005529DD"/>
    <w:rsid w:val="00564A29"/>
    <w:rsid w:val="00564FBC"/>
    <w:rsid w:val="005705A9"/>
    <w:rsid w:val="00572864"/>
    <w:rsid w:val="00582F1C"/>
    <w:rsid w:val="00583520"/>
    <w:rsid w:val="0058618A"/>
    <w:rsid w:val="00593CD2"/>
    <w:rsid w:val="005A04DC"/>
    <w:rsid w:val="005A4952"/>
    <w:rsid w:val="005B20A1"/>
    <w:rsid w:val="005B2478"/>
    <w:rsid w:val="005B30F7"/>
    <w:rsid w:val="005B45ED"/>
    <w:rsid w:val="005B5347"/>
    <w:rsid w:val="005B689D"/>
    <w:rsid w:val="005C7541"/>
    <w:rsid w:val="005E35F3"/>
    <w:rsid w:val="005E400D"/>
    <w:rsid w:val="005E698D"/>
    <w:rsid w:val="005E6E1E"/>
    <w:rsid w:val="005F09F1"/>
    <w:rsid w:val="005F645A"/>
    <w:rsid w:val="006118D1"/>
    <w:rsid w:val="006139F8"/>
    <w:rsid w:val="00620D93"/>
    <w:rsid w:val="0062234A"/>
    <w:rsid w:val="0062469A"/>
    <w:rsid w:val="0062576D"/>
    <w:rsid w:val="00625788"/>
    <w:rsid w:val="0063277E"/>
    <w:rsid w:val="006426D5"/>
    <w:rsid w:val="006466FF"/>
    <w:rsid w:val="006506F4"/>
    <w:rsid w:val="00656C00"/>
    <w:rsid w:val="00661967"/>
    <w:rsid w:val="00671B49"/>
    <w:rsid w:val="00685737"/>
    <w:rsid w:val="00692D68"/>
    <w:rsid w:val="00695745"/>
    <w:rsid w:val="006A0A1A"/>
    <w:rsid w:val="006A6460"/>
    <w:rsid w:val="006B062B"/>
    <w:rsid w:val="006B104E"/>
    <w:rsid w:val="006B5AEA"/>
    <w:rsid w:val="006B6383"/>
    <w:rsid w:val="006B640D"/>
    <w:rsid w:val="006B7640"/>
    <w:rsid w:val="006C29EB"/>
    <w:rsid w:val="006C61FA"/>
    <w:rsid w:val="006D0896"/>
    <w:rsid w:val="006D12C8"/>
    <w:rsid w:val="006D4D81"/>
    <w:rsid w:val="006D4F06"/>
    <w:rsid w:val="006D7539"/>
    <w:rsid w:val="006E1DF6"/>
    <w:rsid w:val="0070391A"/>
    <w:rsid w:val="00704704"/>
    <w:rsid w:val="00706486"/>
    <w:rsid w:val="00716BD8"/>
    <w:rsid w:val="00725368"/>
    <w:rsid w:val="007304F3"/>
    <w:rsid w:val="00733FF9"/>
    <w:rsid w:val="0073420D"/>
    <w:rsid w:val="0073446A"/>
    <w:rsid w:val="00743042"/>
    <w:rsid w:val="0074369A"/>
    <w:rsid w:val="00754E20"/>
    <w:rsid w:val="007554DF"/>
    <w:rsid w:val="0075776D"/>
    <w:rsid w:val="007613FB"/>
    <w:rsid w:val="00765B0F"/>
    <w:rsid w:val="00766AE1"/>
    <w:rsid w:val="007722BF"/>
    <w:rsid w:val="00774EC0"/>
    <w:rsid w:val="00777456"/>
    <w:rsid w:val="00782BE1"/>
    <w:rsid w:val="00784B96"/>
    <w:rsid w:val="007854B3"/>
    <w:rsid w:val="0078787D"/>
    <w:rsid w:val="00787FA8"/>
    <w:rsid w:val="007A2117"/>
    <w:rsid w:val="007C537E"/>
    <w:rsid w:val="007C6EDC"/>
    <w:rsid w:val="007D10F2"/>
    <w:rsid w:val="007D392B"/>
    <w:rsid w:val="007E406B"/>
    <w:rsid w:val="007E730D"/>
    <w:rsid w:val="007F403E"/>
    <w:rsid w:val="00810CEA"/>
    <w:rsid w:val="008129AE"/>
    <w:rsid w:val="00816D2F"/>
    <w:rsid w:val="008233E5"/>
    <w:rsid w:val="00825325"/>
    <w:rsid w:val="00827936"/>
    <w:rsid w:val="00833DE8"/>
    <w:rsid w:val="00833F47"/>
    <w:rsid w:val="008348C3"/>
    <w:rsid w:val="008365C5"/>
    <w:rsid w:val="008373B4"/>
    <w:rsid w:val="00845AEC"/>
    <w:rsid w:val="00847D37"/>
    <w:rsid w:val="00856C6F"/>
    <w:rsid w:val="00856FA4"/>
    <w:rsid w:val="00864CDD"/>
    <w:rsid w:val="00871A41"/>
    <w:rsid w:val="0088335A"/>
    <w:rsid w:val="00886D76"/>
    <w:rsid w:val="00887349"/>
    <w:rsid w:val="008877C2"/>
    <w:rsid w:val="008977A0"/>
    <w:rsid w:val="008A26B6"/>
    <w:rsid w:val="008A6ACC"/>
    <w:rsid w:val="008B0A07"/>
    <w:rsid w:val="008B7115"/>
    <w:rsid w:val="008B77FF"/>
    <w:rsid w:val="008C1495"/>
    <w:rsid w:val="008C5E2A"/>
    <w:rsid w:val="008C6108"/>
    <w:rsid w:val="008C7758"/>
    <w:rsid w:val="008D69C5"/>
    <w:rsid w:val="008D7404"/>
    <w:rsid w:val="008E0AD9"/>
    <w:rsid w:val="008E2854"/>
    <w:rsid w:val="008F3059"/>
    <w:rsid w:val="008F3E34"/>
    <w:rsid w:val="008F496D"/>
    <w:rsid w:val="008F70AD"/>
    <w:rsid w:val="009022BF"/>
    <w:rsid w:val="00902DE1"/>
    <w:rsid w:val="00911CD9"/>
    <w:rsid w:val="00912B71"/>
    <w:rsid w:val="009160F7"/>
    <w:rsid w:val="00916DAD"/>
    <w:rsid w:val="00925770"/>
    <w:rsid w:val="0092701A"/>
    <w:rsid w:val="00931632"/>
    <w:rsid w:val="00932C92"/>
    <w:rsid w:val="00937DC7"/>
    <w:rsid w:val="009454E4"/>
    <w:rsid w:val="0094685B"/>
    <w:rsid w:val="0095433E"/>
    <w:rsid w:val="00957921"/>
    <w:rsid w:val="009623C9"/>
    <w:rsid w:val="0096683A"/>
    <w:rsid w:val="00972965"/>
    <w:rsid w:val="009834A8"/>
    <w:rsid w:val="00984240"/>
    <w:rsid w:val="00985CA6"/>
    <w:rsid w:val="00995B07"/>
    <w:rsid w:val="009A2619"/>
    <w:rsid w:val="009A556D"/>
    <w:rsid w:val="009A7C04"/>
    <w:rsid w:val="009B10D6"/>
    <w:rsid w:val="009D30FA"/>
    <w:rsid w:val="009D65D0"/>
    <w:rsid w:val="009D7E91"/>
    <w:rsid w:val="009E54F4"/>
    <w:rsid w:val="009F2BFA"/>
    <w:rsid w:val="009F471B"/>
    <w:rsid w:val="00A025CC"/>
    <w:rsid w:val="00A02B6A"/>
    <w:rsid w:val="00A03A3D"/>
    <w:rsid w:val="00A21FFA"/>
    <w:rsid w:val="00A22177"/>
    <w:rsid w:val="00A224EF"/>
    <w:rsid w:val="00A35078"/>
    <w:rsid w:val="00A350D7"/>
    <w:rsid w:val="00A35535"/>
    <w:rsid w:val="00A358A4"/>
    <w:rsid w:val="00A3629C"/>
    <w:rsid w:val="00A40C35"/>
    <w:rsid w:val="00A43FFF"/>
    <w:rsid w:val="00A47BE4"/>
    <w:rsid w:val="00A50EAF"/>
    <w:rsid w:val="00A534D0"/>
    <w:rsid w:val="00A602F9"/>
    <w:rsid w:val="00A650EE"/>
    <w:rsid w:val="00A65A95"/>
    <w:rsid w:val="00A662C8"/>
    <w:rsid w:val="00A7096F"/>
    <w:rsid w:val="00A71157"/>
    <w:rsid w:val="00A966E6"/>
    <w:rsid w:val="00AA5253"/>
    <w:rsid w:val="00AB2BE3"/>
    <w:rsid w:val="00AB71A1"/>
    <w:rsid w:val="00AB7834"/>
    <w:rsid w:val="00AC4D5F"/>
    <w:rsid w:val="00AC522D"/>
    <w:rsid w:val="00AD450C"/>
    <w:rsid w:val="00AE08DB"/>
    <w:rsid w:val="00AE2729"/>
    <w:rsid w:val="00AE5AE2"/>
    <w:rsid w:val="00AE7343"/>
    <w:rsid w:val="00AF6B22"/>
    <w:rsid w:val="00B02BF1"/>
    <w:rsid w:val="00B1458E"/>
    <w:rsid w:val="00B14C51"/>
    <w:rsid w:val="00B15540"/>
    <w:rsid w:val="00B266C2"/>
    <w:rsid w:val="00B311C8"/>
    <w:rsid w:val="00B3126D"/>
    <w:rsid w:val="00B36F2E"/>
    <w:rsid w:val="00B44B87"/>
    <w:rsid w:val="00B44F11"/>
    <w:rsid w:val="00B46392"/>
    <w:rsid w:val="00B521C4"/>
    <w:rsid w:val="00B53F62"/>
    <w:rsid w:val="00B611E0"/>
    <w:rsid w:val="00B62979"/>
    <w:rsid w:val="00B65451"/>
    <w:rsid w:val="00B6730C"/>
    <w:rsid w:val="00B6753D"/>
    <w:rsid w:val="00B70056"/>
    <w:rsid w:val="00B823A7"/>
    <w:rsid w:val="00B90FA5"/>
    <w:rsid w:val="00B919F1"/>
    <w:rsid w:val="00B92433"/>
    <w:rsid w:val="00B97E62"/>
    <w:rsid w:val="00BB468D"/>
    <w:rsid w:val="00BB47CE"/>
    <w:rsid w:val="00BC0E8D"/>
    <w:rsid w:val="00BC411F"/>
    <w:rsid w:val="00BC4188"/>
    <w:rsid w:val="00BD0503"/>
    <w:rsid w:val="00BD180D"/>
    <w:rsid w:val="00BE2785"/>
    <w:rsid w:val="00BE6551"/>
    <w:rsid w:val="00BF093B"/>
    <w:rsid w:val="00BF154E"/>
    <w:rsid w:val="00C0531E"/>
    <w:rsid w:val="00C06B2A"/>
    <w:rsid w:val="00C07BDC"/>
    <w:rsid w:val="00C17952"/>
    <w:rsid w:val="00C20A22"/>
    <w:rsid w:val="00C37966"/>
    <w:rsid w:val="00C4244F"/>
    <w:rsid w:val="00C43473"/>
    <w:rsid w:val="00C44BCE"/>
    <w:rsid w:val="00C45D20"/>
    <w:rsid w:val="00C5051F"/>
    <w:rsid w:val="00C632ED"/>
    <w:rsid w:val="00C66150"/>
    <w:rsid w:val="00C70EF5"/>
    <w:rsid w:val="00C756C5"/>
    <w:rsid w:val="00C82CAE"/>
    <w:rsid w:val="00C858D9"/>
    <w:rsid w:val="00C930A8"/>
    <w:rsid w:val="00C94A56"/>
    <w:rsid w:val="00C96325"/>
    <w:rsid w:val="00CA01A1"/>
    <w:rsid w:val="00CA59DF"/>
    <w:rsid w:val="00CA6CDB"/>
    <w:rsid w:val="00CB7D19"/>
    <w:rsid w:val="00CC3524"/>
    <w:rsid w:val="00CC5440"/>
    <w:rsid w:val="00CD27BE"/>
    <w:rsid w:val="00CD6F0F"/>
    <w:rsid w:val="00CE06F1"/>
    <w:rsid w:val="00CE0BB7"/>
    <w:rsid w:val="00CE3E9A"/>
    <w:rsid w:val="00CE4207"/>
    <w:rsid w:val="00CF6E39"/>
    <w:rsid w:val="00CF72DA"/>
    <w:rsid w:val="00D03F52"/>
    <w:rsid w:val="00D15B4E"/>
    <w:rsid w:val="00D177E7"/>
    <w:rsid w:val="00D2079F"/>
    <w:rsid w:val="00D360E7"/>
    <w:rsid w:val="00D447EF"/>
    <w:rsid w:val="00D44DB4"/>
    <w:rsid w:val="00D45BDD"/>
    <w:rsid w:val="00D505E2"/>
    <w:rsid w:val="00D52A49"/>
    <w:rsid w:val="00D7463D"/>
    <w:rsid w:val="00D80F5A"/>
    <w:rsid w:val="00D902AC"/>
    <w:rsid w:val="00D9381D"/>
    <w:rsid w:val="00DA4540"/>
    <w:rsid w:val="00DA587E"/>
    <w:rsid w:val="00DB3052"/>
    <w:rsid w:val="00DB66B6"/>
    <w:rsid w:val="00DC2D17"/>
    <w:rsid w:val="00DC4762"/>
    <w:rsid w:val="00DD0D3A"/>
    <w:rsid w:val="00DE23BF"/>
    <w:rsid w:val="00DE3981"/>
    <w:rsid w:val="00DE40DD"/>
    <w:rsid w:val="00DE7026"/>
    <w:rsid w:val="00DE7755"/>
    <w:rsid w:val="00DF059A"/>
    <w:rsid w:val="00DF6669"/>
    <w:rsid w:val="00DF6D19"/>
    <w:rsid w:val="00DF70F5"/>
    <w:rsid w:val="00E00053"/>
    <w:rsid w:val="00E0200A"/>
    <w:rsid w:val="00E07FB4"/>
    <w:rsid w:val="00E148F7"/>
    <w:rsid w:val="00E17A1A"/>
    <w:rsid w:val="00E2252C"/>
    <w:rsid w:val="00E270C0"/>
    <w:rsid w:val="00E30545"/>
    <w:rsid w:val="00E31AB1"/>
    <w:rsid w:val="00E3232E"/>
    <w:rsid w:val="00E36D82"/>
    <w:rsid w:val="00E400B1"/>
    <w:rsid w:val="00E460B9"/>
    <w:rsid w:val="00E64404"/>
    <w:rsid w:val="00E67121"/>
    <w:rsid w:val="00E7198D"/>
    <w:rsid w:val="00E731FE"/>
    <w:rsid w:val="00E735AF"/>
    <w:rsid w:val="00E74CA6"/>
    <w:rsid w:val="00E75E3D"/>
    <w:rsid w:val="00E90325"/>
    <w:rsid w:val="00E91A7A"/>
    <w:rsid w:val="00E9731C"/>
    <w:rsid w:val="00EA4E4C"/>
    <w:rsid w:val="00EB4D4F"/>
    <w:rsid w:val="00EC0184"/>
    <w:rsid w:val="00EC6284"/>
    <w:rsid w:val="00EC78CD"/>
    <w:rsid w:val="00ED3904"/>
    <w:rsid w:val="00EE46BC"/>
    <w:rsid w:val="00F017AF"/>
    <w:rsid w:val="00F041C4"/>
    <w:rsid w:val="00F1598C"/>
    <w:rsid w:val="00F20BC6"/>
    <w:rsid w:val="00F233BF"/>
    <w:rsid w:val="00F25214"/>
    <w:rsid w:val="00F255FC"/>
    <w:rsid w:val="00F259B0"/>
    <w:rsid w:val="00F26A20"/>
    <w:rsid w:val="00F276C9"/>
    <w:rsid w:val="00F40690"/>
    <w:rsid w:val="00F41B85"/>
    <w:rsid w:val="00F43B8F"/>
    <w:rsid w:val="00F44354"/>
    <w:rsid w:val="00F51785"/>
    <w:rsid w:val="00F530D7"/>
    <w:rsid w:val="00F541E6"/>
    <w:rsid w:val="00F640BF"/>
    <w:rsid w:val="00F70754"/>
    <w:rsid w:val="00F71E25"/>
    <w:rsid w:val="00F7253C"/>
    <w:rsid w:val="00F7378C"/>
    <w:rsid w:val="00F80BF2"/>
    <w:rsid w:val="00F879A1"/>
    <w:rsid w:val="00F92FC4"/>
    <w:rsid w:val="00F96D97"/>
    <w:rsid w:val="00F9793C"/>
    <w:rsid w:val="00FA0C14"/>
    <w:rsid w:val="00FA53DE"/>
    <w:rsid w:val="00FA6F42"/>
    <w:rsid w:val="00FB1C75"/>
    <w:rsid w:val="00FB4B02"/>
    <w:rsid w:val="00FB5995"/>
    <w:rsid w:val="00FB7915"/>
    <w:rsid w:val="00FC2D40"/>
    <w:rsid w:val="00FC3600"/>
    <w:rsid w:val="00FC565B"/>
    <w:rsid w:val="00FD3D17"/>
    <w:rsid w:val="00FD57FC"/>
    <w:rsid w:val="00FD606C"/>
    <w:rsid w:val="00FD6C88"/>
    <w:rsid w:val="00FE006E"/>
    <w:rsid w:val="00FE0D3B"/>
    <w:rsid w:val="00FE3F50"/>
    <w:rsid w:val="00FE54D4"/>
    <w:rsid w:val="00FE5675"/>
    <w:rsid w:val="00FF0DF1"/>
    <w:rsid w:val="00FF2791"/>
    <w:rsid w:val="00FF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B2F784"/>
  <w15:chartTrackingRefBased/>
  <w15:docId w15:val="{5A203204-5AC3-4410-B0CC-2D005FB0C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B3052"/>
    <w:pPr>
      <w:keepNext/>
      <w:keepLines/>
    </w:pPr>
    <w:rPr>
      <w:sz w:val="24"/>
      <w:szCs w:val="24"/>
    </w:rPr>
  </w:style>
  <w:style w:type="paragraph" w:styleId="Ttulo1">
    <w:name w:val="heading 1"/>
    <w:aliases w:val="TF-TÍTULO 1"/>
    <w:basedOn w:val="Normal"/>
    <w:next w:val="TF-TEXTO"/>
    <w:link w:val="Ttulo1Char"/>
    <w:autoRedefine/>
    <w:qFormat/>
    <w:rsid w:val="007D10F2"/>
    <w:pPr>
      <w:pageBreakBefore/>
      <w:numPr>
        <w:numId w:val="1"/>
      </w:numPr>
      <w:tabs>
        <w:tab w:val="left" w:pos="284"/>
      </w:tabs>
      <w:spacing w:line="360" w:lineRule="auto"/>
      <w:ind w:left="284" w:hanging="284"/>
      <w:jc w:val="both"/>
      <w:outlineLvl w:val="0"/>
    </w:pPr>
    <w:rPr>
      <w:b/>
      <w:caps/>
    </w:rPr>
  </w:style>
  <w:style w:type="paragraph" w:styleId="Ttulo2">
    <w:name w:val="heading 2"/>
    <w:aliases w:val="TF-TÍTULO 2"/>
    <w:next w:val="TF-TEXTO"/>
    <w:link w:val="Ttulo2Char"/>
    <w:autoRedefine/>
    <w:qFormat/>
    <w:rsid w:val="001A2D50"/>
    <w:pPr>
      <w:keepNext/>
      <w:keepLines/>
      <w:numPr>
        <w:ilvl w:val="1"/>
        <w:numId w:val="1"/>
      </w:numPr>
      <w:spacing w:before="240" w:line="360" w:lineRule="auto"/>
      <w:ind w:left="567" w:hanging="567"/>
      <w:jc w:val="both"/>
      <w:outlineLvl w:val="1"/>
    </w:pPr>
    <w:rPr>
      <w:caps/>
      <w:color w:val="000000"/>
      <w:sz w:val="24"/>
    </w:rPr>
  </w:style>
  <w:style w:type="paragraph" w:styleId="Ttulo3">
    <w:name w:val="heading 3"/>
    <w:aliases w:val="TF-TÍTULO 3"/>
    <w:next w:val="TF-TEXTO"/>
    <w:link w:val="Ttulo3Char"/>
    <w:autoRedefine/>
    <w:qFormat/>
    <w:rsid w:val="009D7E91"/>
    <w:pPr>
      <w:keepNext/>
      <w:keepLines/>
      <w:numPr>
        <w:ilvl w:val="2"/>
        <w:numId w:val="1"/>
      </w:numPr>
      <w:spacing w:before="240" w:line="360" w:lineRule="auto"/>
      <w:ind w:left="851" w:hanging="851"/>
      <w:jc w:val="both"/>
      <w:outlineLvl w:val="2"/>
    </w:pPr>
    <w:rPr>
      <w:color w:val="000000"/>
      <w:sz w:val="24"/>
    </w:rPr>
  </w:style>
  <w:style w:type="paragraph" w:styleId="Ttulo4">
    <w:name w:val="heading 4"/>
    <w:aliases w:val="TF-TÍTULO 4"/>
    <w:next w:val="TF-TEXTO"/>
    <w:link w:val="Ttulo4Char"/>
    <w:autoRedefine/>
    <w:qFormat/>
    <w:rsid w:val="009D7E91"/>
    <w:pPr>
      <w:keepNext/>
      <w:keepLines/>
      <w:numPr>
        <w:ilvl w:val="3"/>
        <w:numId w:val="1"/>
      </w:numPr>
      <w:spacing w:before="240" w:line="360" w:lineRule="auto"/>
      <w:ind w:left="992" w:hanging="992"/>
      <w:jc w:val="both"/>
      <w:outlineLvl w:val="3"/>
    </w:pPr>
    <w:rPr>
      <w:color w:val="000000"/>
      <w:sz w:val="24"/>
    </w:rPr>
  </w:style>
  <w:style w:type="paragraph" w:styleId="Ttulo5">
    <w:name w:val="heading 5"/>
    <w:aliases w:val="TF-TÍTULO 5"/>
    <w:next w:val="TF-TEXTO"/>
    <w:autoRedefine/>
    <w:qFormat/>
    <w:rsid w:val="009D7E91"/>
    <w:pPr>
      <w:keepNext/>
      <w:keepLines/>
      <w:numPr>
        <w:ilvl w:val="4"/>
        <w:numId w:val="1"/>
      </w:numPr>
      <w:spacing w:before="240" w:line="360" w:lineRule="auto"/>
      <w:ind w:left="1134" w:hanging="1134"/>
      <w:jc w:val="both"/>
      <w:outlineLvl w:val="4"/>
    </w:pPr>
    <w:rPr>
      <w:color w:val="000000"/>
      <w:sz w:val="24"/>
    </w:rPr>
  </w:style>
  <w:style w:type="paragraph" w:styleId="Ttulo6">
    <w:name w:val="heading 6"/>
    <w:next w:val="TF-TEXTO"/>
    <w:autoRedefine/>
    <w:qFormat/>
    <w:pPr>
      <w:keepNext/>
      <w:numPr>
        <w:ilvl w:val="5"/>
        <w:numId w:val="1"/>
      </w:numPr>
      <w:spacing w:before="360" w:after="240"/>
      <w:ind w:left="1276" w:hanging="1276"/>
      <w:jc w:val="both"/>
      <w:outlineLvl w:val="5"/>
    </w:pPr>
    <w:rPr>
      <w:noProof/>
      <w:color w:val="000000"/>
      <w:sz w:val="24"/>
    </w:rPr>
  </w:style>
  <w:style w:type="paragraph" w:styleId="Ttulo7">
    <w:name w:val="heading 7"/>
    <w:next w:val="TF-TEXTO"/>
    <w:autoRedefine/>
    <w:qFormat/>
    <w:pPr>
      <w:keepNext/>
      <w:numPr>
        <w:ilvl w:val="6"/>
        <w:numId w:val="1"/>
      </w:numPr>
      <w:spacing w:before="360" w:after="240"/>
      <w:ind w:left="1559" w:hanging="1559"/>
      <w:jc w:val="both"/>
      <w:outlineLvl w:val="6"/>
    </w:pPr>
    <w:rPr>
      <w:rFonts w:ascii="Times" w:hAnsi="Times"/>
      <w:sz w:val="24"/>
    </w:rPr>
  </w:style>
  <w:style w:type="paragraph" w:styleId="Ttulo8">
    <w:name w:val="heading 8"/>
    <w:next w:val="TF-TEXTO"/>
    <w:autoRedefine/>
    <w:qFormat/>
    <w:pPr>
      <w:keepNext/>
      <w:numPr>
        <w:ilvl w:val="7"/>
        <w:numId w:val="1"/>
      </w:numPr>
      <w:spacing w:before="360" w:after="240"/>
      <w:ind w:left="1843" w:hanging="1843"/>
      <w:jc w:val="both"/>
      <w:outlineLvl w:val="7"/>
    </w:pPr>
    <w:rPr>
      <w:rFonts w:ascii="Times" w:hAnsi="Times"/>
      <w:color w:val="000000"/>
      <w:sz w:val="24"/>
    </w:rPr>
  </w:style>
  <w:style w:type="paragraph" w:styleId="Ttulo9">
    <w:name w:val="heading 9"/>
    <w:next w:val="TF-TEXTO"/>
    <w:qFormat/>
    <w:pPr>
      <w:keepNext/>
      <w:numPr>
        <w:ilvl w:val="8"/>
        <w:numId w:val="1"/>
      </w:numPr>
      <w:spacing w:before="360" w:after="360"/>
      <w:ind w:left="1985" w:hanging="1985"/>
      <w:jc w:val="both"/>
      <w:outlineLvl w:val="8"/>
    </w:pPr>
    <w:rPr>
      <w:b/>
      <w:color w:val="000000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F-TEXTO">
    <w:name w:val="TF-TEXTO"/>
    <w:link w:val="TF-TEXTOChar"/>
    <w:qFormat/>
    <w:rsid w:val="008233E5"/>
    <w:pPr>
      <w:spacing w:before="120" w:line="360" w:lineRule="auto"/>
      <w:ind w:firstLine="680"/>
      <w:contextualSpacing/>
      <w:jc w:val="both"/>
    </w:pPr>
    <w:rPr>
      <w:sz w:val="24"/>
    </w:rPr>
  </w:style>
  <w:style w:type="paragraph" w:styleId="ndicedeilustraes">
    <w:name w:val="table of figures"/>
    <w:basedOn w:val="Normal"/>
    <w:next w:val="Normal"/>
    <w:uiPriority w:val="99"/>
    <w:rsid w:val="006426D5"/>
    <w:pPr>
      <w:keepNext w:val="0"/>
      <w:keepLines w:val="0"/>
      <w:spacing w:line="360" w:lineRule="auto"/>
      <w:ind w:left="1134" w:hanging="1134"/>
    </w:pPr>
  </w:style>
  <w:style w:type="paragraph" w:customStyle="1" w:styleId="TF-xpre-capaCABEALHO">
    <w:name w:val="TF-xpre-capa CABEÇALHO"/>
    <w:pPr>
      <w:spacing w:line="480" w:lineRule="auto"/>
      <w:jc w:val="center"/>
    </w:pPr>
    <w:rPr>
      <w:b/>
      <w:caps/>
      <w:sz w:val="24"/>
    </w:rPr>
  </w:style>
  <w:style w:type="paragraph" w:customStyle="1" w:styleId="TF-xpre-capaTTULO">
    <w:name w:val="TF-xpre-capa TÍTULO"/>
    <w:next w:val="TF-xpre-capaAUTOR"/>
    <w:pPr>
      <w:spacing w:before="4600" w:line="480" w:lineRule="auto"/>
      <w:jc w:val="center"/>
    </w:pPr>
    <w:rPr>
      <w:b/>
      <w:caps/>
      <w:sz w:val="32"/>
    </w:rPr>
  </w:style>
  <w:style w:type="paragraph" w:customStyle="1" w:styleId="TF-xpre-capaAUTOR">
    <w:name w:val="TF-xpre-capa AUTOR"/>
    <w:pPr>
      <w:spacing w:before="720"/>
      <w:jc w:val="right"/>
    </w:pPr>
    <w:rPr>
      <w:b/>
      <w:caps/>
      <w:sz w:val="24"/>
    </w:rPr>
  </w:style>
  <w:style w:type="paragraph" w:customStyle="1" w:styleId="TF-xpre-capaID">
    <w:name w:val="TF-xpre-capa ID"/>
    <w:pPr>
      <w:jc w:val="right"/>
    </w:pPr>
    <w:rPr>
      <w:b/>
      <w:caps/>
      <w:sz w:val="24"/>
    </w:rPr>
  </w:style>
  <w:style w:type="paragraph" w:customStyle="1" w:styleId="TF-xpre-folharostoAUTOR">
    <w:name w:val="TF-xpre-folha rosto AUTOR"/>
    <w:basedOn w:val="TF-xpre-capaAUTOR"/>
    <w:pPr>
      <w:widowControl w:val="0"/>
      <w:spacing w:before="0"/>
      <w:jc w:val="center"/>
    </w:pPr>
  </w:style>
  <w:style w:type="paragraph" w:customStyle="1" w:styleId="TF-xpre-folharostoFINALIDADE">
    <w:name w:val="TF-xpre-folha rosto FINALIDADE"/>
    <w:pPr>
      <w:spacing w:before="720"/>
      <w:ind w:left="4536"/>
      <w:jc w:val="both"/>
    </w:pPr>
    <w:rPr>
      <w:color w:val="000000"/>
      <w:sz w:val="24"/>
    </w:rPr>
  </w:style>
  <w:style w:type="paragraph" w:customStyle="1" w:styleId="TF-xpre-folharostoTTULO">
    <w:name w:val="TF-xpre-folha rosto TÍTULO"/>
    <w:basedOn w:val="TF-xpre-capaTTULO"/>
    <w:pPr>
      <w:spacing w:before="2000"/>
    </w:pPr>
  </w:style>
  <w:style w:type="paragraph" w:customStyle="1" w:styleId="TF-xpre-folharostoORIENTADOR">
    <w:name w:val="TF-xpre-folha rosto ORIENTADOR"/>
    <w:basedOn w:val="TF-xpre-folharostoFINALIDADE"/>
    <w:pPr>
      <w:keepNext/>
      <w:keepLines/>
      <w:spacing w:before="480"/>
      <w:ind w:left="0"/>
      <w:jc w:val="right"/>
    </w:pPr>
  </w:style>
  <w:style w:type="paragraph" w:customStyle="1" w:styleId="TF-xpre-folharostoANO">
    <w:name w:val="TF-xpre-folha rosto ANO"/>
    <w:next w:val="TF-xpre-folharostoID"/>
    <w:pPr>
      <w:jc w:val="center"/>
    </w:pPr>
    <w:rPr>
      <w:b/>
      <w:caps/>
      <w:color w:val="000000"/>
      <w:sz w:val="24"/>
    </w:rPr>
  </w:style>
  <w:style w:type="paragraph" w:customStyle="1" w:styleId="TF-xpre-folharostoID">
    <w:name w:val="TF-xpre-folha rosto ID"/>
    <w:basedOn w:val="TF-xpre-capaID"/>
  </w:style>
  <w:style w:type="paragraph" w:customStyle="1" w:styleId="TF-xpre-folhaaprovaoTTULO">
    <w:name w:val="TF-xpre-folha aprovação TÍTULO"/>
    <w:basedOn w:val="TF-xpre-capaTTULO"/>
    <w:pPr>
      <w:pageBreakBefore/>
      <w:spacing w:before="0"/>
    </w:pPr>
  </w:style>
  <w:style w:type="paragraph" w:customStyle="1" w:styleId="TF-xpre-folhaaprovaoPOR">
    <w:name w:val="TF-xpre-folha aprovação POR"/>
    <w:pPr>
      <w:spacing w:before="1000"/>
      <w:jc w:val="center"/>
    </w:pPr>
    <w:rPr>
      <w:color w:val="000000"/>
      <w:sz w:val="24"/>
    </w:rPr>
  </w:style>
  <w:style w:type="paragraph" w:customStyle="1" w:styleId="TF-xpre-folhaaprovaoAUTOR">
    <w:name w:val="TF-xpre-folha aprovação AUTOR"/>
    <w:pPr>
      <w:spacing w:before="1000"/>
      <w:jc w:val="center"/>
    </w:pPr>
    <w:rPr>
      <w:b/>
      <w:caps/>
      <w:sz w:val="24"/>
    </w:rPr>
  </w:style>
  <w:style w:type="paragraph" w:customStyle="1" w:styleId="TF-xpre-folhaaprovaoASSINATURA">
    <w:name w:val="TF-xpre-folha aprovação ASSINATURA"/>
    <w:pPr>
      <w:spacing w:before="360"/>
      <w:ind w:left="2268"/>
    </w:pPr>
    <w:rPr>
      <w:b/>
      <w:color w:val="000000"/>
      <w:sz w:val="24"/>
    </w:rPr>
  </w:style>
  <w:style w:type="paragraph" w:customStyle="1" w:styleId="TF-xpre-folhaaprovaoFUNO">
    <w:name w:val="TF-xpre-folha aprovação FUNÇÃO"/>
    <w:pPr>
      <w:tabs>
        <w:tab w:val="left" w:pos="2268"/>
      </w:tabs>
    </w:pPr>
    <w:rPr>
      <w:color w:val="000000"/>
      <w:sz w:val="24"/>
    </w:rPr>
  </w:style>
  <w:style w:type="paragraph" w:customStyle="1" w:styleId="TF-xpre-folhaaprovaoDATA">
    <w:name w:val="TF-xpre-folha aprovação DATA"/>
    <w:pPr>
      <w:keepLines/>
      <w:jc w:val="center"/>
    </w:pPr>
    <w:rPr>
      <w:color w:val="000000"/>
      <w:sz w:val="24"/>
    </w:rPr>
  </w:style>
  <w:style w:type="paragraph" w:customStyle="1" w:styleId="TF-xpre-folhaaprovaoFINALIDADE">
    <w:name w:val="TF-xpre-folha aprovação FINALIDADE"/>
    <w:pPr>
      <w:spacing w:before="1000" w:after="1000"/>
      <w:ind w:left="4536"/>
      <w:jc w:val="both"/>
    </w:pPr>
    <w:rPr>
      <w:color w:val="000000"/>
      <w:sz w:val="24"/>
    </w:rPr>
  </w:style>
  <w:style w:type="paragraph" w:customStyle="1" w:styleId="TF-xpre-capaLOCAL">
    <w:name w:val="TF-xpre-capa LOCAL"/>
    <w:next w:val="TF-xpre-capaANO"/>
    <w:pPr>
      <w:jc w:val="center"/>
    </w:pPr>
    <w:rPr>
      <w:b/>
      <w:caps/>
      <w:sz w:val="24"/>
    </w:rPr>
  </w:style>
  <w:style w:type="paragraph" w:customStyle="1" w:styleId="TF-xpre-capaANO">
    <w:name w:val="TF-xpre-capa ANO"/>
    <w:next w:val="TF-xpre-capaID"/>
    <w:pPr>
      <w:jc w:val="center"/>
    </w:pPr>
    <w:rPr>
      <w:b/>
      <w:caps/>
      <w:sz w:val="24"/>
    </w:rPr>
  </w:style>
  <w:style w:type="paragraph" w:customStyle="1" w:styleId="TF-xpre-folharostoLOCAL">
    <w:name w:val="TF-xpre-folha rosto LOCAL"/>
    <w:pPr>
      <w:jc w:val="center"/>
    </w:pPr>
    <w:rPr>
      <w:b/>
      <w:caps/>
      <w:sz w:val="24"/>
    </w:rPr>
  </w:style>
  <w:style w:type="paragraph" w:customStyle="1" w:styleId="TF-xpre-dedicatria">
    <w:name w:val="TF-xpre-dedicatória"/>
    <w:rsid w:val="00215872"/>
    <w:pPr>
      <w:spacing w:before="6400"/>
      <w:ind w:left="4536"/>
      <w:jc w:val="both"/>
    </w:pPr>
    <w:rPr>
      <w:sz w:val="24"/>
    </w:rPr>
  </w:style>
  <w:style w:type="paragraph" w:customStyle="1" w:styleId="TF-xpre-agradecimentosTEXTO">
    <w:name w:val="TF-xpre-agradecimentos TEXTO"/>
    <w:pPr>
      <w:spacing w:line="480" w:lineRule="auto"/>
      <w:ind w:firstLine="680"/>
      <w:jc w:val="both"/>
    </w:pPr>
    <w:rPr>
      <w:sz w:val="24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F-xpre-epgrafeTEXTO">
    <w:name w:val="TF-xpre-epígrafe TEXTO"/>
    <w:next w:val="TF-xpre-epgrafeAUTOR"/>
    <w:rsid w:val="00215872"/>
    <w:pPr>
      <w:spacing w:before="6400"/>
      <w:ind w:left="4536"/>
      <w:jc w:val="both"/>
    </w:pPr>
    <w:rPr>
      <w:sz w:val="24"/>
    </w:rPr>
  </w:style>
  <w:style w:type="paragraph" w:customStyle="1" w:styleId="TF-xpre-epgrafeAUTOR">
    <w:name w:val="TF-xpre-epígrafe AUTOR"/>
    <w:pPr>
      <w:spacing w:before="120" w:line="480" w:lineRule="auto"/>
      <w:jc w:val="right"/>
    </w:pPr>
    <w:rPr>
      <w:sz w:val="24"/>
    </w:rPr>
  </w:style>
  <w:style w:type="paragraph" w:customStyle="1" w:styleId="TF-xpre-abstractTTULO">
    <w:name w:val="TF-xpre-abstract TÍTULO"/>
    <w:basedOn w:val="TF-TTULOnonumerado"/>
    <w:next w:val="TF-xpre-abstractTEXTO"/>
    <w:pPr>
      <w:pageBreakBefore/>
    </w:pPr>
  </w:style>
  <w:style w:type="paragraph" w:customStyle="1" w:styleId="TF-TTULOnonumerado">
    <w:name w:val="TF-TÍTULO não numerado"/>
    <w:pPr>
      <w:spacing w:after="840"/>
      <w:jc w:val="center"/>
    </w:pPr>
    <w:rPr>
      <w:b/>
      <w:caps/>
      <w:sz w:val="28"/>
    </w:rPr>
  </w:style>
  <w:style w:type="paragraph" w:customStyle="1" w:styleId="TF-xpre-abstractTEXTO">
    <w:name w:val="TF-xpre-abstract TEXTO"/>
    <w:basedOn w:val="TF-xpre-resumoTEXTO"/>
    <w:next w:val="TF-xpre-abstractKEY-WORDS"/>
  </w:style>
  <w:style w:type="paragraph" w:customStyle="1" w:styleId="TF-xpre-resumoTEXTO">
    <w:name w:val="TF-xpre-resumo TEXTO"/>
    <w:next w:val="TF-xpre-resumoPALAVRAS-CHAVE"/>
    <w:rsid w:val="005A4952"/>
    <w:pPr>
      <w:spacing w:line="360" w:lineRule="auto"/>
      <w:jc w:val="both"/>
    </w:pPr>
    <w:rPr>
      <w:sz w:val="24"/>
    </w:rPr>
  </w:style>
  <w:style w:type="paragraph" w:customStyle="1" w:styleId="TF-xpre-resumoPALAVRAS-CHAVE">
    <w:name w:val="TF-xpre-resumo PALAVRAS-CHAVE"/>
    <w:basedOn w:val="TF-xpre-resumoTEXTO"/>
    <w:rsid w:val="005A4952"/>
    <w:pPr>
      <w:spacing w:before="240"/>
    </w:pPr>
  </w:style>
  <w:style w:type="paragraph" w:customStyle="1" w:styleId="TF-xpre-abstractKEY-WORDS">
    <w:name w:val="TF-xpre-abstract KEY-WORDS"/>
    <w:basedOn w:val="TF-xpre-resumoPALAVRAS-CHAVE"/>
  </w:style>
  <w:style w:type="paragraph" w:customStyle="1" w:styleId="TF-xpre-listadeilustraesTTULO">
    <w:name w:val="TF-xpre-lista de ilustrações TÍTULO"/>
    <w:basedOn w:val="TF-TTULOnonumerado"/>
    <w:pPr>
      <w:pageBreakBefore/>
    </w:pPr>
  </w:style>
  <w:style w:type="paragraph" w:customStyle="1" w:styleId="TF-xpre-listadetabelasTTULO">
    <w:name w:val="TF-xpre-lista de tabelas TÍTULO"/>
    <w:basedOn w:val="TF-TTULOnonumerado"/>
    <w:next w:val="Normal"/>
    <w:pPr>
      <w:keepNext/>
    </w:pPr>
  </w:style>
  <w:style w:type="paragraph" w:customStyle="1" w:styleId="TF-xpre-listadesmbolosTTULO">
    <w:name w:val="TF-xpre-lista de símbolos TÍTULO"/>
    <w:basedOn w:val="TF-TTULOnonumerado"/>
    <w:next w:val="TF-xpre-listadesmbolosITEM"/>
  </w:style>
  <w:style w:type="paragraph" w:customStyle="1" w:styleId="TF-xpre-listadesmbolosITEM">
    <w:name w:val="TF-xpre-lista de símbolos ITEM"/>
    <w:basedOn w:val="TF-xpre-listadesiglasITEM"/>
  </w:style>
  <w:style w:type="paragraph" w:customStyle="1" w:styleId="TF-xpre-listadesiglasITEM">
    <w:name w:val="TF-xpre-lista de siglas ITEM"/>
    <w:pPr>
      <w:spacing w:line="480" w:lineRule="auto"/>
      <w:jc w:val="both"/>
    </w:pPr>
    <w:rPr>
      <w:sz w:val="24"/>
    </w:rPr>
  </w:style>
  <w:style w:type="paragraph" w:customStyle="1" w:styleId="TF-xpre-sumrioTTULO">
    <w:name w:val="TF-xpre-sumário TÍTULO"/>
    <w:basedOn w:val="TF-TTULOnonumerado"/>
    <w:pPr>
      <w:pageBreakBefore/>
    </w:pPr>
  </w:style>
  <w:style w:type="paragraph" w:customStyle="1" w:styleId="TF-refernciasbibliogrficasTTULO">
    <w:name w:val="TF-referências bibliográficas TÍTULO"/>
    <w:basedOn w:val="TF-TTULOnonumerado"/>
    <w:next w:val="TF-refernciasITEM"/>
    <w:rsid w:val="006D0896"/>
    <w:pPr>
      <w:pageBreakBefore/>
      <w:spacing w:after="0" w:line="360" w:lineRule="auto"/>
    </w:pPr>
    <w:rPr>
      <w:rFonts w:ascii="Times" w:hAnsi="Times"/>
      <w:sz w:val="24"/>
    </w:rPr>
  </w:style>
  <w:style w:type="paragraph" w:customStyle="1" w:styleId="TF-refernciasITEM">
    <w:name w:val="TF-referências ITEM"/>
    <w:rsid w:val="00F276C9"/>
    <w:pPr>
      <w:keepLines/>
      <w:spacing w:after="120"/>
    </w:pPr>
    <w:rPr>
      <w:sz w:val="24"/>
    </w:rPr>
  </w:style>
  <w:style w:type="paragraph" w:customStyle="1" w:styleId="TF-SUBALNEAnvel1">
    <w:name w:val="TF-SUBALÍNEA nível 1"/>
    <w:basedOn w:val="TF-ALNEA"/>
    <w:pPr>
      <w:numPr>
        <w:ilvl w:val="1"/>
      </w:numPr>
    </w:pPr>
    <w:rPr>
      <w:rFonts w:ascii="Times" w:hAnsi="Times"/>
    </w:rPr>
  </w:style>
  <w:style w:type="paragraph" w:customStyle="1" w:styleId="TF-ALNEA">
    <w:name w:val="TF-ALÍNEA"/>
    <w:qFormat/>
    <w:rsid w:val="00C66150"/>
    <w:pPr>
      <w:widowControl w:val="0"/>
      <w:numPr>
        <w:numId w:val="2"/>
      </w:numPr>
      <w:spacing w:line="360" w:lineRule="auto"/>
      <w:contextualSpacing/>
      <w:jc w:val="both"/>
    </w:pPr>
    <w:rPr>
      <w:sz w:val="24"/>
    </w:rPr>
  </w:style>
  <w:style w:type="paragraph" w:customStyle="1" w:styleId="TF-xpre-resumoTTULO">
    <w:name w:val="TF-xpre-resumo TÍTULO"/>
    <w:basedOn w:val="TF-TTULOnonumerado"/>
    <w:next w:val="TF-xpre-resumoTEXTO"/>
    <w:pPr>
      <w:pageBreakBefore/>
    </w:pPr>
  </w:style>
  <w:style w:type="paragraph" w:customStyle="1" w:styleId="TF-SUBALNEAnvel2">
    <w:name w:val="TF-SUBALÍNEA nível 2"/>
    <w:basedOn w:val="TF-SUBALNEAnvel1"/>
    <w:pPr>
      <w:numPr>
        <w:ilvl w:val="2"/>
      </w:numPr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styleId="Sumrio2">
    <w:name w:val="toc 2"/>
    <w:basedOn w:val="Sumrio1"/>
    <w:autoRedefine/>
    <w:uiPriority w:val="39"/>
    <w:pPr>
      <w:tabs>
        <w:tab w:val="left" w:pos="426"/>
      </w:tabs>
      <w:ind w:left="425" w:hanging="425"/>
    </w:pPr>
    <w:rPr>
      <w:b w:val="0"/>
    </w:rPr>
  </w:style>
  <w:style w:type="paragraph" w:styleId="Sumrio1">
    <w:name w:val="toc 1"/>
    <w:autoRedefine/>
    <w:uiPriority w:val="39"/>
    <w:pPr>
      <w:tabs>
        <w:tab w:val="left" w:pos="284"/>
        <w:tab w:val="right" w:leader="dot" w:pos="9062"/>
      </w:tabs>
      <w:spacing w:line="360" w:lineRule="auto"/>
      <w:ind w:left="284" w:hanging="284"/>
      <w:jc w:val="both"/>
    </w:pPr>
    <w:rPr>
      <w:b/>
      <w:caps/>
      <w:noProof/>
      <w:color w:val="000000"/>
      <w:sz w:val="24"/>
    </w:rPr>
  </w:style>
  <w:style w:type="paragraph" w:styleId="Sumrio3">
    <w:name w:val="toc 3"/>
    <w:autoRedefine/>
    <w:uiPriority w:val="39"/>
    <w:pPr>
      <w:tabs>
        <w:tab w:val="left" w:pos="567"/>
        <w:tab w:val="right" w:leader="dot" w:pos="9062"/>
      </w:tabs>
      <w:spacing w:line="360" w:lineRule="auto"/>
      <w:ind w:left="567" w:hanging="567"/>
      <w:jc w:val="both"/>
    </w:pPr>
    <w:rPr>
      <w:noProof/>
      <w:color w:val="000000"/>
      <w:sz w:val="24"/>
    </w:rPr>
  </w:style>
  <w:style w:type="paragraph" w:styleId="Sumrio4">
    <w:name w:val="toc 4"/>
    <w:basedOn w:val="Sumrio3"/>
    <w:next w:val="Sumrio3"/>
    <w:autoRedefine/>
    <w:uiPriority w:val="39"/>
    <w:pPr>
      <w:tabs>
        <w:tab w:val="left" w:pos="709"/>
      </w:tabs>
      <w:ind w:left="709" w:hanging="709"/>
    </w:pPr>
  </w:style>
  <w:style w:type="paragraph" w:styleId="Sumrio5">
    <w:name w:val="toc 5"/>
    <w:basedOn w:val="Sumrio4"/>
    <w:autoRedefine/>
    <w:uiPriority w:val="39"/>
    <w:pPr>
      <w:tabs>
        <w:tab w:val="left" w:pos="993"/>
      </w:tabs>
      <w:ind w:left="992" w:hanging="992"/>
    </w:pPr>
  </w:style>
  <w:style w:type="paragraph" w:styleId="Sumrio6">
    <w:name w:val="toc 6"/>
    <w:basedOn w:val="Sumrio5"/>
    <w:autoRedefine/>
    <w:semiHidden/>
    <w:pPr>
      <w:tabs>
        <w:tab w:val="left" w:pos="1134"/>
      </w:tabs>
      <w:ind w:left="1134" w:hanging="1134"/>
    </w:pPr>
  </w:style>
  <w:style w:type="paragraph" w:styleId="Sumrio7">
    <w:name w:val="toc 7"/>
    <w:basedOn w:val="Sumrio6"/>
    <w:autoRedefine/>
    <w:semiHidden/>
    <w:pPr>
      <w:tabs>
        <w:tab w:val="left" w:pos="1276"/>
      </w:tabs>
      <w:ind w:left="1276" w:hanging="1276"/>
    </w:pPr>
  </w:style>
  <w:style w:type="paragraph" w:styleId="Sumrio8">
    <w:name w:val="toc 8"/>
    <w:basedOn w:val="Sumrio7"/>
    <w:autoRedefine/>
    <w:semiHidden/>
    <w:pPr>
      <w:tabs>
        <w:tab w:val="left" w:pos="1418"/>
      </w:tabs>
      <w:ind w:left="1418" w:hanging="1418"/>
    </w:pPr>
  </w:style>
  <w:style w:type="paragraph" w:styleId="Sumrio9">
    <w:name w:val="toc 9"/>
    <w:basedOn w:val="Sumrio8"/>
    <w:autoRedefine/>
    <w:uiPriority w:val="39"/>
    <w:pPr>
      <w:tabs>
        <w:tab w:val="left" w:pos="1701"/>
      </w:tabs>
      <w:ind w:left="0" w:firstLine="0"/>
    </w:pPr>
    <w:rPr>
      <w:b/>
    </w:rPr>
  </w:style>
  <w:style w:type="paragraph" w:styleId="Lista5">
    <w:name w:val="List 5"/>
    <w:basedOn w:val="Normal"/>
    <w:semiHidden/>
    <w:pPr>
      <w:ind w:left="1415" w:hanging="283"/>
    </w:pPr>
  </w:style>
  <w:style w:type="character" w:styleId="Hyperlink">
    <w:name w:val="Hyperlink"/>
    <w:uiPriority w:val="99"/>
    <w:rsid w:val="006426D5"/>
    <w:rPr>
      <w:noProof/>
      <w:color w:val="0000FF"/>
      <w:u w:val="single"/>
    </w:rPr>
  </w:style>
  <w:style w:type="paragraph" w:customStyle="1" w:styleId="TF-xpos-apndiceTTULO">
    <w:name w:val="TF-xpos-apêndice TÍTULO"/>
    <w:next w:val="TF-TEXTO"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xpos-anexoTTULO">
    <w:name w:val="TF-xpos-anexo TÍTULO"/>
    <w:next w:val="TF-TEXTO"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FONTE">
    <w:name w:val="TF-FONTE"/>
    <w:next w:val="Normal"/>
    <w:qFormat/>
    <w:rsid w:val="006D7539"/>
    <w:pPr>
      <w:jc w:val="center"/>
    </w:pPr>
  </w:style>
  <w:style w:type="paragraph" w:customStyle="1" w:styleId="TF-xpre-agradecimentosTTULO">
    <w:name w:val="TF-xpre-agradecimentos TÍTULO"/>
    <w:basedOn w:val="TF-TTULOnonumerado"/>
    <w:next w:val="TF-xpre-agradecimentosTEXTO"/>
    <w:pPr>
      <w:pageBreakBefore/>
    </w:pPr>
    <w:rPr>
      <w:sz w:val="24"/>
    </w:rPr>
  </w:style>
  <w:style w:type="paragraph" w:customStyle="1" w:styleId="TF-LEGENDA">
    <w:name w:val="TF-LEGENDA"/>
    <w:basedOn w:val="Normal"/>
    <w:next w:val="Normal"/>
    <w:qFormat/>
    <w:rsid w:val="008C6108"/>
    <w:pPr>
      <w:spacing w:before="60"/>
      <w:jc w:val="center"/>
      <w:outlineLvl w:val="0"/>
    </w:pPr>
    <w:rPr>
      <w:szCs w:val="20"/>
    </w:rPr>
  </w:style>
  <w:style w:type="paragraph" w:customStyle="1" w:styleId="TF-xpre-listadesiglasTTULO">
    <w:name w:val="TF-xpre-lista de siglas TÍTULO"/>
    <w:basedOn w:val="TF-TTULOnonumerado"/>
    <w:next w:val="TF-xpre-listadesiglasITEM"/>
    <w:pPr>
      <w:pageBreakBefore/>
    </w:pPr>
  </w:style>
  <w:style w:type="paragraph" w:customStyle="1" w:styleId="TF-CITAO">
    <w:name w:val="TF-CITAÇÃO"/>
    <w:next w:val="TF-TEXTO"/>
    <w:qFormat/>
    <w:rsid w:val="00C0531E"/>
    <w:pPr>
      <w:widowControl w:val="0"/>
      <w:spacing w:after="120"/>
      <w:ind w:left="2268"/>
      <w:jc w:val="both"/>
    </w:pPr>
  </w:style>
  <w:style w:type="paragraph" w:customStyle="1" w:styleId="xl24">
    <w:name w:val="xl2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VarivelHTML">
    <w:name w:val="HTML Variable"/>
    <w:semiHidden/>
    <w:rPr>
      <w:i/>
      <w:iCs/>
    </w:rPr>
  </w:style>
  <w:style w:type="paragraph" w:customStyle="1" w:styleId="Analticoilustraes-tabelas">
    <w:name w:val="Analítico ilustrações-tabelas"/>
    <w:basedOn w:val="Sumrio1"/>
    <w:pPr>
      <w:ind w:left="1247" w:hanging="1247"/>
    </w:pPr>
    <w:rPr>
      <w:caps w:val="0"/>
    </w:rPr>
  </w:style>
  <w:style w:type="paragraph" w:customStyle="1" w:styleId="FIGURA">
    <w:name w:val="FIGURA"/>
    <w:basedOn w:val="TF-TEXTO"/>
  </w:style>
  <w:style w:type="paragraph" w:customStyle="1" w:styleId="QUADRO">
    <w:name w:val="QUADRO"/>
    <w:basedOn w:val="TF-TEXTO"/>
  </w:style>
  <w:style w:type="paragraph" w:customStyle="1" w:styleId="TABELA">
    <w:name w:val="TABELA"/>
    <w:basedOn w:val="TF-TEXTO"/>
  </w:style>
  <w:style w:type="paragraph" w:customStyle="1" w:styleId="TF-TEXTO-QUADRO">
    <w:name w:val="TF-TEXTO-QUADRO"/>
    <w:pPr>
      <w:keepNext/>
    </w:pPr>
    <w:rPr>
      <w:sz w:val="22"/>
    </w:rPr>
  </w:style>
  <w:style w:type="paragraph" w:customStyle="1" w:styleId="TF-CDIGO-FONTE">
    <w:name w:val="TF-CÓDIGO-FONTE"/>
    <w:pPr>
      <w:keepNext/>
      <w:keepLines/>
    </w:pPr>
    <w:rPr>
      <w:rFonts w:ascii="Courier" w:hAnsi="Courier"/>
      <w:lang w:val="en-US"/>
    </w:rPr>
  </w:style>
  <w:style w:type="paragraph" w:customStyle="1" w:styleId="TF-TEXTO-QUADRO-Centralizado">
    <w:name w:val="TF-TEXTO-QUADRO-Centralizado"/>
    <w:basedOn w:val="Normal"/>
    <w:rsid w:val="00B6753D"/>
    <w:pPr>
      <w:jc w:val="center"/>
    </w:pPr>
    <w:rPr>
      <w:sz w:val="22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8424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84240"/>
    <w:rPr>
      <w:rFonts w:ascii="Tahoma" w:hAnsi="Tahoma" w:cs="Tahoma"/>
      <w:sz w:val="16"/>
      <w:szCs w:val="16"/>
    </w:rPr>
  </w:style>
  <w:style w:type="paragraph" w:customStyle="1" w:styleId="TF-TEXTO-QUADRO-Direita">
    <w:name w:val="TF-TEXTO-QUADRO-Direita"/>
    <w:basedOn w:val="Normal"/>
    <w:rsid w:val="00B6753D"/>
    <w:pPr>
      <w:jc w:val="right"/>
    </w:pPr>
    <w:rPr>
      <w:sz w:val="22"/>
      <w:szCs w:val="20"/>
    </w:rPr>
  </w:style>
  <w:style w:type="table" w:styleId="Tabelacomgrade">
    <w:name w:val="Table Grid"/>
    <w:basedOn w:val="Tabelanormal"/>
    <w:uiPriority w:val="59"/>
    <w:rsid w:val="00F259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F-FIGURA">
    <w:name w:val="TF-FIGURA"/>
    <w:basedOn w:val="TF-TEXTO"/>
    <w:qFormat/>
    <w:rsid w:val="005A04DC"/>
    <w:pPr>
      <w:keepNext/>
      <w:spacing w:before="0" w:line="240" w:lineRule="auto"/>
      <w:ind w:firstLine="0"/>
      <w:jc w:val="center"/>
    </w:pPr>
  </w:style>
  <w:style w:type="character" w:customStyle="1" w:styleId="TF-COURIER10">
    <w:name w:val="TF-COURIER 10"/>
    <w:qFormat/>
    <w:rsid w:val="00620D93"/>
    <w:rPr>
      <w:rFonts w:ascii="Courier New" w:hAnsi="Courier New"/>
      <w:sz w:val="20"/>
    </w:rPr>
  </w:style>
  <w:style w:type="character" w:customStyle="1" w:styleId="Ttulo1Char">
    <w:name w:val="Título 1 Char"/>
    <w:aliases w:val="TF-TÍTULO 1 Char"/>
    <w:link w:val="Ttulo1"/>
    <w:rsid w:val="0036523A"/>
    <w:rPr>
      <w:b/>
      <w:caps/>
      <w:sz w:val="24"/>
      <w:szCs w:val="24"/>
    </w:rPr>
  </w:style>
  <w:style w:type="paragraph" w:customStyle="1" w:styleId="TF-xpos-apndice-Ttulo">
    <w:name w:val="TF-xpos-apêndice-Título"/>
    <w:next w:val="Normal"/>
    <w:rsid w:val="00FD57FC"/>
    <w:pPr>
      <w:pageBreakBefore/>
      <w:jc w:val="both"/>
    </w:pPr>
    <w:rPr>
      <w:rFonts w:ascii="Times" w:hAnsi="Times"/>
      <w:b/>
      <w:color w:val="000000"/>
      <w:sz w:val="28"/>
    </w:rPr>
  </w:style>
  <w:style w:type="paragraph" w:customStyle="1" w:styleId="TF-xpos-anexo-Ttulo">
    <w:name w:val="TF-xpos-anexo-Título"/>
    <w:next w:val="Normal"/>
    <w:rsid w:val="00FD57FC"/>
    <w:pPr>
      <w:pageBreakBefore/>
      <w:spacing w:after="240"/>
      <w:jc w:val="both"/>
    </w:pPr>
    <w:rPr>
      <w:b/>
      <w:color w:val="000000"/>
      <w:sz w:val="28"/>
    </w:rPr>
  </w:style>
  <w:style w:type="paragraph" w:styleId="Legenda">
    <w:name w:val="caption"/>
    <w:basedOn w:val="Normal"/>
    <w:next w:val="Normal"/>
    <w:uiPriority w:val="35"/>
    <w:qFormat/>
    <w:rsid w:val="00EC6284"/>
    <w:rPr>
      <w:b/>
      <w:bCs/>
      <w:sz w:val="20"/>
      <w:szCs w:val="20"/>
    </w:rPr>
  </w:style>
  <w:style w:type="character" w:customStyle="1" w:styleId="TF-TEXTOChar">
    <w:name w:val="TF-TEXTO Char"/>
    <w:link w:val="TF-TEXTO"/>
    <w:rsid w:val="000256B9"/>
    <w:rPr>
      <w:sz w:val="24"/>
    </w:rPr>
  </w:style>
  <w:style w:type="paragraph" w:styleId="NormalWeb">
    <w:name w:val="Normal (Web)"/>
    <w:basedOn w:val="Normal"/>
    <w:uiPriority w:val="99"/>
    <w:semiHidden/>
    <w:unhideWhenUsed/>
    <w:rsid w:val="00AF6B22"/>
    <w:pPr>
      <w:keepNext w:val="0"/>
      <w:keepLines w:val="0"/>
      <w:spacing w:before="100" w:beforeAutospacing="1" w:after="100" w:afterAutospacing="1"/>
    </w:pPr>
  </w:style>
  <w:style w:type="character" w:styleId="Forte">
    <w:name w:val="Strong"/>
    <w:uiPriority w:val="22"/>
    <w:qFormat/>
    <w:rsid w:val="00AF6B22"/>
    <w:rPr>
      <w:b/>
      <w:bCs/>
    </w:rPr>
  </w:style>
  <w:style w:type="paragraph" w:customStyle="1" w:styleId="TF-TEXTOQUADRO">
    <w:name w:val="TF-TEXTO QUADRO"/>
    <w:rsid w:val="00A43FFF"/>
    <w:pPr>
      <w:keepNext/>
      <w:keepLines/>
    </w:pPr>
    <w:rPr>
      <w:sz w:val="22"/>
    </w:rPr>
  </w:style>
  <w:style w:type="character" w:customStyle="1" w:styleId="Ttulo2Char">
    <w:name w:val="Título 2 Char"/>
    <w:aliases w:val="TF-TÍTULO 2 Char"/>
    <w:link w:val="Ttulo2"/>
    <w:rsid w:val="008129AE"/>
    <w:rPr>
      <w:caps/>
      <w:color w:val="000000"/>
      <w:sz w:val="24"/>
    </w:rPr>
  </w:style>
  <w:style w:type="character" w:customStyle="1" w:styleId="Ttulo3Char">
    <w:name w:val="Título 3 Char"/>
    <w:aliases w:val="TF-TÍTULO 3 Char"/>
    <w:link w:val="Ttulo3"/>
    <w:rsid w:val="008129AE"/>
    <w:rPr>
      <w:color w:val="000000"/>
      <w:sz w:val="24"/>
    </w:rPr>
  </w:style>
  <w:style w:type="character" w:customStyle="1" w:styleId="Ttulo4Char">
    <w:name w:val="Título 4 Char"/>
    <w:aliases w:val="TF-TÍTULO 4 Char"/>
    <w:link w:val="Ttulo4"/>
    <w:rsid w:val="008A6ACC"/>
    <w:rPr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f8440490-6d1a-488a-8abf-48b89d0123a0" xsi:nil="true"/>
    <NotebookType xmlns="f8440490-6d1a-488a-8abf-48b89d0123a0" xsi:nil="true"/>
    <DefaultSectionNames xmlns="f8440490-6d1a-488a-8abf-48b89d0123a0" xsi:nil="true"/>
    <Self_Registration_Enabled xmlns="f8440490-6d1a-488a-8abf-48b89d0123a0" xsi:nil="true"/>
    <FolderType xmlns="f8440490-6d1a-488a-8abf-48b89d0123a0" xsi:nil="true"/>
    <AppVersion xmlns="f8440490-6d1a-488a-8abf-48b89d0123a0" xsi:nil="true"/>
    <TeamsChannelId xmlns="f8440490-6d1a-488a-8abf-48b89d0123a0" xsi:nil="true"/>
    <IsNotebookLocked xmlns="f8440490-6d1a-488a-8abf-48b89d0123a0" xsi:nil="true"/>
    <Students xmlns="f8440490-6d1a-488a-8abf-48b89d0123a0">
      <UserInfo>
        <DisplayName/>
        <AccountId xsi:nil="true"/>
        <AccountType/>
      </UserInfo>
    </Students>
    <Templates xmlns="f8440490-6d1a-488a-8abf-48b89d0123a0" xsi:nil="true"/>
    <CultureName xmlns="f8440490-6d1a-488a-8abf-48b89d0123a0" xsi:nil="true"/>
    <Invited_Students xmlns="f8440490-6d1a-488a-8abf-48b89d0123a0" xsi:nil="true"/>
    <Owner xmlns="f8440490-6d1a-488a-8abf-48b89d0123a0">
      <UserInfo>
        <DisplayName/>
        <AccountId xsi:nil="true"/>
        <AccountType/>
      </UserInfo>
    </Owner>
    <Teachers xmlns="f8440490-6d1a-488a-8abf-48b89d0123a0">
      <UserInfo>
        <DisplayName/>
        <AccountId xsi:nil="true"/>
        <AccountType/>
      </UserInfo>
    </Teachers>
    <Student_Groups xmlns="f8440490-6d1a-488a-8abf-48b89d0123a0">
      <UserInfo>
        <DisplayName/>
        <AccountId xsi:nil="true"/>
        <AccountType/>
      </UserInfo>
    </Student_Groups>
    <Invited_Teachers xmlns="f8440490-6d1a-488a-8abf-48b89d0123a0" xsi:nil="true"/>
    <Is_Collaboration_Space_Locked xmlns="f8440490-6d1a-488a-8abf-48b89d0123a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" StyleName="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3453D0801D5E45B1745A09551F1C32" ma:contentTypeVersion="28" ma:contentTypeDescription="Crie um novo documento." ma:contentTypeScope="" ma:versionID="fa9ef3803bb4ef638f344296fd7d9170">
  <xsd:schema xmlns:xsd="http://www.w3.org/2001/XMLSchema" xmlns:xs="http://www.w3.org/2001/XMLSchema" xmlns:p="http://schemas.microsoft.com/office/2006/metadata/properties" xmlns:ns3="f8440490-6d1a-488a-8abf-48b89d0123a0" xmlns:ns4="22206413-f776-4b11-bcb2-0b935dc83731" targetNamespace="http://schemas.microsoft.com/office/2006/metadata/properties" ma:root="true" ma:fieldsID="5a7e583b53460e8ff4480ccd12c418cb" ns3:_="" ns4:_="">
    <xsd:import namespace="f8440490-6d1a-488a-8abf-48b89d0123a0"/>
    <xsd:import namespace="22206413-f776-4b11-bcb2-0b935dc83731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TeamsChannelId" minOccurs="0"/>
                <xsd:element ref="ns3:IsNotebookLocked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40490-6d1a-488a-8abf-48b89d0123a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9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TeamsChannelId" ma:index="32" nillable="true" ma:displayName="Teams Channel Id" ma:internalName="TeamsChannelId">
      <xsd:simpleType>
        <xsd:restriction base="dms:Text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06413-f776-4b11-bcb2-0b935dc83731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B1E8BD-BF95-4AA1-9082-63603511BB6A}">
  <ds:schemaRefs>
    <ds:schemaRef ds:uri="http://schemas.microsoft.com/office/2006/metadata/properties"/>
    <ds:schemaRef ds:uri="http://schemas.microsoft.com/office/infopath/2007/PartnerControls"/>
    <ds:schemaRef ds:uri="f8440490-6d1a-488a-8abf-48b89d0123a0"/>
  </ds:schemaRefs>
</ds:datastoreItem>
</file>

<file path=customXml/itemProps2.xml><?xml version="1.0" encoding="utf-8"?>
<ds:datastoreItem xmlns:ds="http://schemas.openxmlformats.org/officeDocument/2006/customXml" ds:itemID="{383FF85A-51EB-4AE2-BC64-AA96D5D4C3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C22651-8492-4985-A983-E28F22F8AF0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3C73C3-3D32-4ED6-9310-B8CC3B8417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440490-6d1a-488a-8abf-48b89d0123a0"/>
    <ds:schemaRef ds:uri="22206413-f776-4b11-bcb2-0b935dc837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8</Pages>
  <Words>2307</Words>
  <Characters>12463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REGIONAL DE BLUMENAU</vt:lpstr>
    </vt:vector>
  </TitlesOfParts>
  <Company>Universidade Regional de Blumenau (FURB)</Company>
  <LinksUpToDate>false</LinksUpToDate>
  <CharactersWithSpaces>14741</CharactersWithSpaces>
  <SharedDoc>false</SharedDoc>
  <HLinks>
    <vt:vector size="198" baseType="variant">
      <vt:variant>
        <vt:i4>1179708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_Toc521697160</vt:lpwstr>
      </vt:variant>
      <vt:variant>
        <vt:i4>1114172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_Toc521697159</vt:lpwstr>
      </vt:variant>
      <vt:variant>
        <vt:i4>1114172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_Toc521697158</vt:lpwstr>
      </vt:variant>
      <vt:variant>
        <vt:i4>1114172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_Toc521697157</vt:lpwstr>
      </vt:variant>
      <vt:variant>
        <vt:i4>1114172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_Toc521697156</vt:lpwstr>
      </vt:variant>
      <vt:variant>
        <vt:i4>1114172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_Toc521697155</vt:lpwstr>
      </vt:variant>
      <vt:variant>
        <vt:i4>1114172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_Toc521697154</vt:lpwstr>
      </vt:variant>
      <vt:variant>
        <vt:i4>1114172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_Toc521697153</vt:lpwstr>
      </vt:variant>
      <vt:variant>
        <vt:i4>1114172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_Toc521697152</vt:lpwstr>
      </vt:variant>
      <vt:variant>
        <vt:i4>1114172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_Toc521697151</vt:lpwstr>
      </vt:variant>
      <vt:variant>
        <vt:i4>1114172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_Toc521697150</vt:lpwstr>
      </vt:variant>
      <vt:variant>
        <vt:i4>1048636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_Toc521697149</vt:lpwstr>
      </vt:variant>
      <vt:variant>
        <vt:i4>1048636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_Toc521697148</vt:lpwstr>
      </vt:variant>
      <vt:variant>
        <vt:i4>1048636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_Toc521697147</vt:lpwstr>
      </vt:variant>
      <vt:variant>
        <vt:i4>1048636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_Toc521697146</vt:lpwstr>
      </vt:variant>
      <vt:variant>
        <vt:i4>1048636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_Toc521697145</vt:lpwstr>
      </vt:variant>
      <vt:variant>
        <vt:i4>1048636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_Toc521697144</vt:lpwstr>
      </vt:variant>
      <vt:variant>
        <vt:i4>1048636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_Toc521697143</vt:lpwstr>
      </vt:variant>
      <vt:variant>
        <vt:i4>1048636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_Toc521697142</vt:lpwstr>
      </vt:variant>
      <vt:variant>
        <vt:i4>1048636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_Toc521697141</vt:lpwstr>
      </vt:variant>
      <vt:variant>
        <vt:i4>1048636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_Toc521697140</vt:lpwstr>
      </vt:variant>
      <vt:variant>
        <vt:i4>1507388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_Toc521697139</vt:lpwstr>
      </vt:variant>
      <vt:variant>
        <vt:i4>1507388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_Toc521697138</vt:lpwstr>
      </vt:variant>
      <vt:variant>
        <vt:i4>1507388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_Toc521697137</vt:lpwstr>
      </vt:variant>
      <vt:variant>
        <vt:i4>1507388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_Toc521697136</vt:lpwstr>
      </vt:variant>
      <vt:variant>
        <vt:i4>1507388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_Toc521697135</vt:lpwstr>
      </vt:variant>
      <vt:variant>
        <vt:i4>1507388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_Toc521697134</vt:lpwstr>
      </vt:variant>
      <vt:variant>
        <vt:i4>1114166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_Toc426037730</vt:lpwstr>
      </vt:variant>
      <vt:variant>
        <vt:i4>1048630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_Toc426037728</vt:lpwstr>
      </vt:variant>
      <vt:variant>
        <vt:i4>1048630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_Toc426037727</vt:lpwstr>
      </vt:variant>
      <vt:variant>
        <vt:i4>1048630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_Toc426037726</vt:lpwstr>
      </vt:variant>
      <vt:variant>
        <vt:i4>1048630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_Toc426037725</vt:lpwstr>
      </vt:variant>
      <vt:variant>
        <vt:i4>1048630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_Toc426037720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REGIONAL DE BLUMENAU</dc:title>
  <dc:subject/>
  <dc:creator>roque</dc:creator>
  <cp:keywords/>
  <cp:lastModifiedBy>Gabriel Arevalo Esteves</cp:lastModifiedBy>
  <cp:revision>161</cp:revision>
  <cp:lastPrinted>2013-08-27T11:47:00Z</cp:lastPrinted>
  <dcterms:created xsi:type="dcterms:W3CDTF">2020-08-20T18:33:00Z</dcterms:created>
  <dcterms:modified xsi:type="dcterms:W3CDTF">2025-11-17T23:45:00Z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0x010100F13453D0801D5E45B1745A09551F1C32</vt:lpwstr>
  </property>
</Properties>
</file>