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WELLINGTON PEREIRA DA SILVA</w:t>
        <w:br/>
      </w:r>
      <w:r>
        <w:rPr>
          <w:rFonts w:ascii="Calibri" w:hAnsi="Calibri"/>
          <w:b w:val="0"/>
        </w:rPr>
        <w:t xml:space="preserve">Idade      </w:t>
        <w:tab/>
        <w:t>: 26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J.F.I</w:t>
        <w:br/>
      </w:r>
      <w:r>
        <w:rPr>
          <w:rFonts w:ascii="Calibri" w:hAnsi="Calibri"/>
          <w:b w:val="0"/>
        </w:rPr>
        <w:t xml:space="preserve">Motivo  </w:t>
        <w:tab/>
        <w:t>: DEMISSIONAL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