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8CD5" w14:textId="77777777" w:rsidR="00F55D06" w:rsidRDefault="00000000">
      <w:pPr>
        <w:spacing w:before="1200"/>
        <w:jc w:val="center"/>
      </w:pPr>
      <w:r>
        <w:rPr>
          <w:b/>
          <w:color w:val="1F4E79"/>
          <w:sz w:val="56"/>
        </w:rPr>
        <w:t>SEAFLOR 2026</w:t>
      </w:r>
    </w:p>
    <w:p w14:paraId="6500C183" w14:textId="77777777" w:rsidR="00F55D06" w:rsidRDefault="00000000">
      <w:pPr>
        <w:jc w:val="center"/>
      </w:pPr>
      <w:r>
        <w:rPr>
          <w:b/>
          <w:color w:val="2E75B6"/>
          <w:sz w:val="36"/>
        </w:rPr>
        <w:t>Nota Técnica de Metodologia</w:t>
      </w:r>
    </w:p>
    <w:p w14:paraId="690C9B46" w14:textId="77777777" w:rsidR="00F55D06" w:rsidRDefault="00F55D06">
      <w:pPr>
        <w:spacing w:after="40"/>
      </w:pPr>
    </w:p>
    <w:p w14:paraId="23ADC0B8" w14:textId="77777777" w:rsidR="00F55D06" w:rsidRDefault="00000000">
      <w:pPr>
        <w:jc w:val="center"/>
      </w:pPr>
      <w:r>
        <w:rPr>
          <w:color w:val="1F4E79"/>
          <w:sz w:val="28"/>
        </w:rPr>
        <w:t>Concentração de Mercado (HHI)</w:t>
      </w:r>
      <w:r>
        <w:rPr>
          <w:color w:val="1F4E79"/>
          <w:sz w:val="28"/>
        </w:rPr>
        <w:br/>
        <w:t>Decomposição Comercial</w:t>
      </w:r>
      <w:r>
        <w:rPr>
          <w:color w:val="1F4E79"/>
          <w:sz w:val="28"/>
        </w:rPr>
        <w:br/>
        <w:t>Estimativa de Receita Foregone</w:t>
      </w:r>
    </w:p>
    <w:p w14:paraId="5BC72916" w14:textId="77777777" w:rsidR="00F55D06" w:rsidRDefault="00F55D06">
      <w:pPr>
        <w:spacing w:after="40"/>
      </w:pPr>
    </w:p>
    <w:p w14:paraId="02800D75" w14:textId="77777777" w:rsidR="00F55D06" w:rsidRDefault="00F55D06">
      <w:pPr>
        <w:spacing w:after="40"/>
      </w:pPr>
    </w:p>
    <w:p w14:paraId="0590FA87" w14:textId="77777777" w:rsidR="00F55D06" w:rsidRDefault="00F55D06">
      <w:pPr>
        <w:spacing w:after="40"/>
      </w:pPr>
    </w:p>
    <w:p w14:paraId="25E7C94A" w14:textId="77777777" w:rsidR="00F55D06" w:rsidRDefault="00000000">
      <w:pPr>
        <w:jc w:val="center"/>
      </w:pPr>
      <w:r>
        <w:rPr>
          <w:color w:val="595959"/>
          <w:sz w:val="24"/>
        </w:rPr>
        <w:t>Observatório FIESC — Competitividade Industrial</w:t>
      </w:r>
      <w:r>
        <w:rPr>
          <w:color w:val="595959"/>
          <w:sz w:val="24"/>
        </w:rPr>
        <w:br/>
        <w:t>Junho de 2026</w:t>
      </w:r>
    </w:p>
    <w:p w14:paraId="4821E7DA" w14:textId="77777777" w:rsidR="00F55D06" w:rsidRDefault="00F55D06">
      <w:pPr>
        <w:spacing w:after="40"/>
      </w:pPr>
    </w:p>
    <w:p w14:paraId="57C867D4" w14:textId="77777777" w:rsidR="00F55D06" w:rsidRDefault="00F55D06">
      <w:pPr>
        <w:spacing w:after="40"/>
      </w:pPr>
    </w:p>
    <w:p w14:paraId="3E441911" w14:textId="77777777" w:rsidR="00F55D06" w:rsidRDefault="00000000">
      <w:pPr>
        <w:jc w:val="center"/>
      </w:pPr>
      <w:r>
        <w:rPr>
          <w:i/>
          <w:color w:val="595959"/>
          <w:sz w:val="20"/>
        </w:rPr>
        <w:t>Este documento descreve, de forma didática e com rigor matemático, as três metodologias centrais do relatório SEAFLOR 2026. Para cada metodologia são apresentados: lógica conceitual, equações com definição de todos os termos, premissas, limitações e exemplo numérico passo a passo com dados reais do Complexo Florestal de SC.</w:t>
      </w:r>
    </w:p>
    <w:p w14:paraId="55826DFA" w14:textId="77777777" w:rsidR="00F55D06" w:rsidRDefault="00F55D06">
      <w:pPr>
        <w:spacing w:after="40"/>
      </w:pPr>
    </w:p>
    <w:p w14:paraId="07C1F0A2" w14:textId="77777777" w:rsidR="00F55D06" w:rsidRDefault="00000000">
      <w:pPr>
        <w:jc w:val="center"/>
      </w:pPr>
      <w:r>
        <w:rPr>
          <w:color w:val="595959"/>
          <w:sz w:val="18"/>
        </w:rPr>
        <w:t>Fonte: ComexStat/MDIC  |  NCM–CNAE FIESC  |  Jan–Mai 2025 vs. Jan–Mai 2026</w:t>
      </w:r>
    </w:p>
    <w:p w14:paraId="36391E0A" w14:textId="77777777" w:rsidR="00F55D06" w:rsidRDefault="00000000">
      <w:r>
        <w:br w:type="page"/>
      </w:r>
    </w:p>
    <w:p w14:paraId="48423F66" w14:textId="77777777" w:rsidR="00F55D06" w:rsidRDefault="00000000">
      <w:pPr>
        <w:pStyle w:val="Ttulo1"/>
      </w:pPr>
      <w:r>
        <w:rPr>
          <w:color w:val="1F4E79"/>
        </w:rPr>
        <w:lastRenderedPageBreak/>
        <w:t>1. Apresentação e Escopo</w:t>
      </w:r>
    </w:p>
    <w:p w14:paraId="3086F6C2" w14:textId="77777777" w:rsidR="00F55D06" w:rsidRDefault="00000000">
      <w:pPr>
        <w:spacing w:after="80"/>
        <w:jc w:val="both"/>
      </w:pPr>
      <w:r>
        <w:t>Este documento técnico descreve as metodologias quantitativas utilizadas pelo Observatório FIESC para mensurar o impacto das tarifas americanas de 2025–2026 sobre as exportações do Complexo Florestal de Santa Catarina. O Complexo Florestal abrange quatro setores classificados pela CNAE: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417"/>
        <w:gridCol w:w="7371"/>
      </w:tblGrid>
      <w:tr w:rsidR="00F55D06" w14:paraId="42F2F81D" w14:textId="77777777"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4B54DFD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CNAE</w:t>
            </w:r>
          </w:p>
        </w:tc>
        <w:tc>
          <w:tcPr>
            <w:tcW w:w="737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A7DB0C2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Atividade Econômica</w:t>
            </w:r>
          </w:p>
        </w:tc>
      </w:tr>
      <w:tr w:rsidR="00F55D06" w14:paraId="67F2E056" w14:textId="77777777"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E255144" w14:textId="77777777" w:rsidR="00F55D06" w:rsidRDefault="00000000">
            <w:r>
              <w:rPr>
                <w:sz w:val="18"/>
              </w:rPr>
              <w:t>2</w:t>
            </w:r>
          </w:p>
        </w:tc>
        <w:tc>
          <w:tcPr>
            <w:tcW w:w="737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8AB8AA5" w14:textId="77777777" w:rsidR="00F55D06" w:rsidRDefault="00000000">
            <w:pPr>
              <w:jc w:val="center"/>
            </w:pPr>
            <w:r>
              <w:rPr>
                <w:sz w:val="18"/>
              </w:rPr>
              <w:t>Produção Florestal — base florestal (toras, lenha, carvão vegetal)</w:t>
            </w:r>
          </w:p>
        </w:tc>
      </w:tr>
      <w:tr w:rsidR="00F55D06" w14:paraId="6F5F65B7" w14:textId="77777777"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B9541F2" w14:textId="77777777" w:rsidR="00F55D06" w:rsidRDefault="00000000">
            <w:r>
              <w:rPr>
                <w:sz w:val="18"/>
              </w:rPr>
              <w:t>16</w:t>
            </w:r>
          </w:p>
        </w:tc>
        <w:tc>
          <w:tcPr>
            <w:tcW w:w="737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580FC0AC" w14:textId="77777777" w:rsidR="00F55D06" w:rsidRDefault="00000000">
            <w:pPr>
              <w:jc w:val="center"/>
            </w:pPr>
            <w:r>
              <w:rPr>
                <w:sz w:val="18"/>
              </w:rPr>
              <w:t>Fabricação de Produtos de Madeira (serrada, compensada, MDF, molduras)</w:t>
            </w:r>
          </w:p>
        </w:tc>
      </w:tr>
      <w:tr w:rsidR="00F55D06" w14:paraId="3C304390" w14:textId="77777777"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9CE1883" w14:textId="77777777" w:rsidR="00F55D06" w:rsidRDefault="00000000">
            <w:r>
              <w:rPr>
                <w:sz w:val="18"/>
              </w:rPr>
              <w:t>17</w:t>
            </w:r>
          </w:p>
        </w:tc>
        <w:tc>
          <w:tcPr>
            <w:tcW w:w="737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28F3D52" w14:textId="77777777" w:rsidR="00F55D06" w:rsidRDefault="00000000">
            <w:pPr>
              <w:jc w:val="center"/>
            </w:pPr>
            <w:r>
              <w:rPr>
                <w:sz w:val="18"/>
              </w:rPr>
              <w:t>Fabricação de Celulose, Papel e Produtos de Papel</w:t>
            </w:r>
          </w:p>
        </w:tc>
      </w:tr>
      <w:tr w:rsidR="00F55D06" w14:paraId="649D9A35" w14:textId="77777777"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29CBDD0" w14:textId="77777777" w:rsidR="00F55D06" w:rsidRDefault="00000000">
            <w:r>
              <w:rPr>
                <w:sz w:val="18"/>
              </w:rPr>
              <w:t>31</w:t>
            </w:r>
          </w:p>
        </w:tc>
        <w:tc>
          <w:tcPr>
            <w:tcW w:w="737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722A8783" w14:textId="77777777" w:rsidR="00F55D06" w:rsidRDefault="00000000">
            <w:pPr>
              <w:jc w:val="center"/>
            </w:pPr>
            <w:r>
              <w:rPr>
                <w:sz w:val="18"/>
              </w:rPr>
              <w:t>Fabricação de Móveis e Componentes</w:t>
            </w:r>
          </w:p>
        </w:tc>
      </w:tr>
    </w:tbl>
    <w:p w14:paraId="0D31D992" w14:textId="77777777" w:rsidR="00F55D06" w:rsidRDefault="00F55D06">
      <w:pPr>
        <w:spacing w:after="80"/>
      </w:pPr>
    </w:p>
    <w:p w14:paraId="4C74623F" w14:textId="77777777" w:rsidR="00F55D06" w:rsidRDefault="00000000">
      <w:pPr>
        <w:spacing w:after="80"/>
        <w:jc w:val="both"/>
      </w:pPr>
      <w:r>
        <w:t>O documento está organizado em cinco blocos:</w:t>
      </w:r>
    </w:p>
    <w:p w14:paraId="27E9EB2C" w14:textId="77777777" w:rsidR="00F55D06" w:rsidRDefault="00000000">
      <w:pPr>
        <w:pStyle w:val="Commarcadores"/>
        <w:spacing w:after="40"/>
      </w:pPr>
      <w:r>
        <w:t>Seção 2 — Bases de dados, fluxo de processamento e recortes analíticos.</w:t>
      </w:r>
    </w:p>
    <w:p w14:paraId="53EFBA1F" w14:textId="77777777" w:rsidR="00F55D06" w:rsidRDefault="00000000">
      <w:pPr>
        <w:pStyle w:val="Commarcadores"/>
        <w:spacing w:after="40"/>
      </w:pPr>
      <w:r>
        <w:t>Seção 3 — Decomposição do impacto tarifário (destruição e desvio de comércio).</w:t>
      </w:r>
    </w:p>
    <w:p w14:paraId="2EC40783" w14:textId="77777777" w:rsidR="00F55D06" w:rsidRDefault="00000000">
      <w:pPr>
        <w:pStyle w:val="Commarcadores"/>
        <w:spacing w:after="40"/>
      </w:pPr>
      <w:r>
        <w:t>Seção 4 — Índice de concentração Herfindahl-Hirschman (HHI).</w:t>
      </w:r>
    </w:p>
    <w:p w14:paraId="3160F4AC" w14:textId="77777777" w:rsidR="00F55D06" w:rsidRDefault="00000000">
      <w:pPr>
        <w:pStyle w:val="Commarcadores"/>
        <w:spacing w:after="40"/>
      </w:pPr>
      <w:r>
        <w:t>Seção 5 — Estimativa da receita foregone por análise contrafactual.</w:t>
      </w:r>
    </w:p>
    <w:p w14:paraId="6F973A48" w14:textId="77777777" w:rsidR="00F55D06" w:rsidRDefault="00000000">
      <w:pPr>
        <w:pStyle w:val="Commarcadores"/>
        <w:spacing w:after="40"/>
      </w:pPr>
      <w:r>
        <w:t>Seção 6 — Resultados por CNAE com as três metodologias.</w:t>
      </w:r>
    </w:p>
    <w:p w14:paraId="17A3C728" w14:textId="77777777" w:rsidR="00F55D06" w:rsidRDefault="00000000">
      <w:pPr>
        <w:pStyle w:val="Ttulo1"/>
      </w:pPr>
      <w:r>
        <w:rPr>
          <w:color w:val="1F4E79"/>
        </w:rPr>
        <w:t>2. Bases de Dados, Fluxo de Processamento e Recortes Analíticos</w:t>
      </w:r>
    </w:p>
    <w:p w14:paraId="011C0BB2" w14:textId="77777777" w:rsidR="00F55D06" w:rsidRDefault="00000000">
      <w:pPr>
        <w:pStyle w:val="Ttulo2"/>
      </w:pPr>
      <w:r>
        <w:rPr>
          <w:color w:val="1F4E79"/>
          <w:sz w:val="24"/>
        </w:rPr>
        <w:t>2.1  Fonte Primária: ComexStat/MDIC</w:t>
      </w:r>
    </w:p>
    <w:p w14:paraId="2BF96E0D" w14:textId="77777777" w:rsidR="00F55D06" w:rsidRDefault="00000000">
      <w:pPr>
        <w:spacing w:after="80"/>
        <w:jc w:val="both"/>
      </w:pPr>
      <w:r>
        <w:t>Todos os dados utilizados provêm do ComexStat, sistema do Ministério do Desenvolvimento, Indústria, Comércio e Serviços (MDIC). O ComexStat registra, ao nível de oito dígitos da Nomenclatura Comum do Mercosul (NCM), cada operação declarada ao Siscomex. As variáveis relevantes são:</w:t>
      </w:r>
    </w:p>
    <w:p w14:paraId="1AFFC005" w14:textId="77777777" w:rsidR="00F55D06" w:rsidRDefault="00000000">
      <w:pPr>
        <w:pStyle w:val="Commarcadores"/>
        <w:spacing w:after="40"/>
      </w:pPr>
      <w:r>
        <w:rPr>
          <w:sz w:val="20"/>
        </w:rPr>
        <w:t>NCM (8 dígitos): classificação do produto exportado;</w:t>
      </w:r>
    </w:p>
    <w:p w14:paraId="60762FE2" w14:textId="77777777" w:rsidR="00F55D06" w:rsidRDefault="00000000">
      <w:pPr>
        <w:pStyle w:val="Commarcadores"/>
        <w:spacing w:after="40"/>
      </w:pPr>
      <w:r>
        <w:rPr>
          <w:sz w:val="20"/>
        </w:rPr>
        <w:t>UF do exportador: filtro para sg_uf = 'SC';</w:t>
      </w:r>
    </w:p>
    <w:p w14:paraId="3117CBCE" w14:textId="77777777" w:rsidR="00F55D06" w:rsidRDefault="00000000">
      <w:pPr>
        <w:pStyle w:val="Commarcadores"/>
        <w:spacing w:after="40"/>
      </w:pPr>
      <w:r>
        <w:rPr>
          <w:sz w:val="20"/>
        </w:rPr>
        <w:t>País de destino: código ISO do país comprador;</w:t>
      </w:r>
    </w:p>
    <w:p w14:paraId="78F25FC5" w14:textId="77777777" w:rsidR="00F55D06" w:rsidRDefault="00000000">
      <w:pPr>
        <w:pStyle w:val="Commarcadores"/>
        <w:spacing w:after="40"/>
      </w:pPr>
      <w:r>
        <w:rPr>
          <w:sz w:val="20"/>
        </w:rPr>
        <w:t>Mês/Ano: período da operação;</w:t>
      </w:r>
    </w:p>
    <w:p w14:paraId="055102C7" w14:textId="77777777" w:rsidR="00F55D06" w:rsidRDefault="00000000">
      <w:pPr>
        <w:pStyle w:val="Commarcadores"/>
        <w:spacing w:after="40"/>
      </w:pPr>
      <w:r>
        <w:rPr>
          <w:sz w:val="20"/>
        </w:rPr>
        <w:t>Valor FOB (US$): valor na fronteira de embarque;</w:t>
      </w:r>
    </w:p>
    <w:p w14:paraId="0FE449AA" w14:textId="77777777" w:rsidR="00F55D06" w:rsidRDefault="00000000">
      <w:pPr>
        <w:pStyle w:val="Commarcadores"/>
        <w:spacing w:after="40"/>
      </w:pPr>
      <w:r>
        <w:rPr>
          <w:sz w:val="20"/>
        </w:rPr>
        <w:t>Peso líquido (kg): volume físico exportado.</w:t>
      </w:r>
    </w:p>
    <w:p w14:paraId="43EAA92B" w14:textId="77777777" w:rsidR="00F55D06" w:rsidRDefault="00000000">
      <w:pPr>
        <w:spacing w:after="80"/>
        <w:jc w:val="both"/>
      </w:pPr>
      <w:r>
        <w:t>Os arquivos são disponibilizados em dois formatos: (a) Histórico consolidado (gold) — anos 2022–2025 em Parquet; e (b) Bronze mensal — arquivos EXP_AAAAMM.csv de 2026, publicados mensalmente pelo MDIC.</w:t>
      </w:r>
    </w:p>
    <w:p w14:paraId="1C68A91F" w14:textId="77777777" w:rsidR="00F55D06" w:rsidRDefault="00000000">
      <w:pPr>
        <w:pStyle w:val="Ttulo2"/>
      </w:pPr>
      <w:r>
        <w:rPr>
          <w:color w:val="1F4E79"/>
          <w:sz w:val="24"/>
        </w:rPr>
        <w:t>2.2  Dicionário de Classificação NCM–CNAE</w:t>
      </w:r>
    </w:p>
    <w:p w14:paraId="762CBD36" w14:textId="77777777" w:rsidR="00F55D06" w:rsidRDefault="00000000">
      <w:pPr>
        <w:spacing w:after="80"/>
        <w:jc w:val="both"/>
      </w:pPr>
      <w:r>
        <w:t>A correspondência entre o NCM (produto) e a CNAE (setor) é feita por um dicionário desenvolvido pela FIESC, atualizado em abril de 2026. Cada NCM recebe exatamente um código CNAE (mapeamento 1:1):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134"/>
        <w:gridCol w:w="2551"/>
        <w:gridCol w:w="5103"/>
      </w:tblGrid>
      <w:tr w:rsidR="00F55D06" w14:paraId="2932C74F" w14:textId="77777777"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D63AE3D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CNAE</w:t>
            </w:r>
          </w:p>
        </w:tc>
        <w:tc>
          <w:tcPr>
            <w:tcW w:w="255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4202A1B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Capítulos SH principais</w:t>
            </w:r>
          </w:p>
        </w:tc>
        <w:tc>
          <w:tcPr>
            <w:tcW w:w="510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0FC46BE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Produtos representativos</w:t>
            </w:r>
          </w:p>
        </w:tc>
      </w:tr>
      <w:tr w:rsidR="00F55D06" w14:paraId="2A8507DC" w14:textId="77777777"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1C14E4D6" w14:textId="77777777" w:rsidR="00F55D06" w:rsidRDefault="00000000">
            <w:r>
              <w:rPr>
                <w:sz w:val="18"/>
              </w:rPr>
              <w:t>2</w:t>
            </w:r>
          </w:p>
        </w:tc>
        <w:tc>
          <w:tcPr>
            <w:tcW w:w="255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689BB5FD" w14:textId="77777777" w:rsidR="00F55D06" w:rsidRDefault="00000000">
            <w:pPr>
              <w:jc w:val="center"/>
            </w:pPr>
            <w:r>
              <w:rPr>
                <w:sz w:val="18"/>
              </w:rPr>
              <w:t>SH 44 (parcial), SH 45</w:t>
            </w:r>
          </w:p>
        </w:tc>
        <w:tc>
          <w:tcPr>
            <w:tcW w:w="510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8A1995B" w14:textId="77777777" w:rsidR="00F55D06" w:rsidRDefault="00000000">
            <w:pPr>
              <w:jc w:val="center"/>
            </w:pPr>
            <w:r>
              <w:rPr>
                <w:sz w:val="18"/>
              </w:rPr>
              <w:t>Toras, lenha, carvão vegetal</w:t>
            </w:r>
          </w:p>
        </w:tc>
      </w:tr>
      <w:tr w:rsidR="00F55D06" w14:paraId="28BABA07" w14:textId="77777777"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4C8B478E" w14:textId="77777777" w:rsidR="00F55D06" w:rsidRDefault="00000000">
            <w:r>
              <w:rPr>
                <w:sz w:val="18"/>
              </w:rPr>
              <w:t>16</w:t>
            </w:r>
          </w:p>
        </w:tc>
        <w:tc>
          <w:tcPr>
            <w:tcW w:w="255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1644FB1D" w14:textId="77777777" w:rsidR="00F55D06" w:rsidRDefault="00000000">
            <w:pPr>
              <w:jc w:val="center"/>
            </w:pPr>
            <w:r>
              <w:rPr>
                <w:sz w:val="18"/>
              </w:rPr>
              <w:t>SH 44 (principal)</w:t>
            </w:r>
          </w:p>
        </w:tc>
        <w:tc>
          <w:tcPr>
            <w:tcW w:w="510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F6249EB" w14:textId="77777777" w:rsidR="00F55D06" w:rsidRDefault="00000000">
            <w:pPr>
              <w:jc w:val="center"/>
            </w:pPr>
            <w:r>
              <w:rPr>
                <w:sz w:val="18"/>
              </w:rPr>
              <w:t>Madeira serrada, compensada, MDF, molduras</w:t>
            </w:r>
          </w:p>
        </w:tc>
      </w:tr>
      <w:tr w:rsidR="00F55D06" w14:paraId="48771D5E" w14:textId="77777777"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1E7F698C" w14:textId="77777777" w:rsidR="00F55D06" w:rsidRDefault="00000000">
            <w:r>
              <w:rPr>
                <w:sz w:val="18"/>
              </w:rPr>
              <w:t>17</w:t>
            </w:r>
          </w:p>
        </w:tc>
        <w:tc>
          <w:tcPr>
            <w:tcW w:w="255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1900F2E2" w14:textId="77777777" w:rsidR="00F55D06" w:rsidRDefault="00000000">
            <w:pPr>
              <w:jc w:val="center"/>
            </w:pPr>
            <w:r>
              <w:rPr>
                <w:sz w:val="18"/>
              </w:rPr>
              <w:t>SH 47, 48, 49</w:t>
            </w:r>
          </w:p>
        </w:tc>
        <w:tc>
          <w:tcPr>
            <w:tcW w:w="510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4728578" w14:textId="77777777" w:rsidR="00F55D06" w:rsidRDefault="00000000">
            <w:pPr>
              <w:jc w:val="center"/>
            </w:pPr>
            <w:r>
              <w:rPr>
                <w:sz w:val="18"/>
              </w:rPr>
              <w:t>Celulose, papel kraft, embalagens</w:t>
            </w:r>
          </w:p>
        </w:tc>
      </w:tr>
      <w:tr w:rsidR="00F55D06" w14:paraId="056B8CC0" w14:textId="77777777"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1CAE71A6" w14:textId="77777777" w:rsidR="00F55D06" w:rsidRDefault="00000000">
            <w:r>
              <w:rPr>
                <w:sz w:val="18"/>
              </w:rPr>
              <w:t>31</w:t>
            </w:r>
          </w:p>
        </w:tc>
        <w:tc>
          <w:tcPr>
            <w:tcW w:w="255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B4AA041" w14:textId="77777777" w:rsidR="00F55D06" w:rsidRDefault="00000000">
            <w:pPr>
              <w:jc w:val="center"/>
            </w:pPr>
            <w:r>
              <w:rPr>
                <w:sz w:val="18"/>
              </w:rPr>
              <w:t>SH 94 (parcial)</w:t>
            </w:r>
          </w:p>
        </w:tc>
        <w:tc>
          <w:tcPr>
            <w:tcW w:w="510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8F2CB3C" w14:textId="77777777" w:rsidR="00F55D06" w:rsidRDefault="00000000">
            <w:pPr>
              <w:jc w:val="center"/>
            </w:pPr>
            <w:r>
              <w:rPr>
                <w:sz w:val="18"/>
              </w:rPr>
              <w:t>Móveis, assentos, componentes</w:t>
            </w:r>
          </w:p>
        </w:tc>
      </w:tr>
    </w:tbl>
    <w:p w14:paraId="0A034DF6" w14:textId="77777777" w:rsidR="00F55D06" w:rsidRDefault="00F55D06">
      <w:pPr>
        <w:spacing w:after="80"/>
      </w:pPr>
    </w:p>
    <w:p w14:paraId="3BD2904A" w14:textId="77777777" w:rsidR="00F55D06" w:rsidRDefault="00000000">
      <w:pPr>
        <w:pStyle w:val="Ttulo2"/>
      </w:pPr>
      <w:r>
        <w:rPr>
          <w:color w:val="1F4E79"/>
          <w:sz w:val="24"/>
        </w:rPr>
        <w:t>2.3  Fluxo de Processamento de Dados</w:t>
      </w:r>
    </w:p>
    <w:p w14:paraId="17F62A05" w14:textId="77777777" w:rsidR="00F55D06" w:rsidRDefault="00000000">
      <w:pPr>
        <w:spacing w:after="80"/>
        <w:jc w:val="both"/>
      </w:pPr>
      <w:r>
        <w:t>O processamento segue cinco etapas sequenciais, da fonte bruta até os indicadores do relatório: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850"/>
        <w:gridCol w:w="2268"/>
        <w:gridCol w:w="5670"/>
      </w:tblGrid>
      <w:tr w:rsidR="00F55D06" w14:paraId="37AAABEE" w14:textId="77777777">
        <w:tc>
          <w:tcPr>
            <w:tcW w:w="85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9B6D210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5A59E41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w="567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DB519C6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F55D06" w14:paraId="57E2941B" w14:textId="77777777">
        <w:tc>
          <w:tcPr>
            <w:tcW w:w="85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9928BA0" w14:textId="77777777" w:rsidR="00F55D06" w:rsidRDefault="00000000">
            <w:r>
              <w:rPr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6033B82" w14:textId="77777777" w:rsidR="00F55D06" w:rsidRDefault="00000000">
            <w:pPr>
              <w:jc w:val="center"/>
            </w:pPr>
            <w:r>
              <w:rPr>
                <w:sz w:val="18"/>
              </w:rPr>
              <w:t>Fonte bruta (bronze)</w:t>
            </w:r>
          </w:p>
        </w:tc>
        <w:tc>
          <w:tcPr>
            <w:tcW w:w="567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50EE7E1" w14:textId="77777777" w:rsidR="00F55D06" w:rsidRDefault="00000000">
            <w:pPr>
              <w:jc w:val="center"/>
            </w:pPr>
            <w:r>
              <w:rPr>
                <w:sz w:val="18"/>
              </w:rPr>
              <w:t>Arquivos CSV mensais do ComexStat com todas as exportações do Brasil.</w:t>
            </w:r>
          </w:p>
        </w:tc>
      </w:tr>
      <w:tr w:rsidR="00F55D06" w14:paraId="61700997" w14:textId="77777777">
        <w:tc>
          <w:tcPr>
            <w:tcW w:w="85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A58A2E8" w14:textId="77777777" w:rsidR="00F55D06" w:rsidRDefault="00000000">
            <w:r>
              <w:rPr>
                <w:sz w:val="18"/>
              </w:rPr>
              <w:t>2</w:t>
            </w:r>
          </w:p>
        </w:tc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56E629E" w14:textId="77777777" w:rsidR="00F55D06" w:rsidRDefault="00000000">
            <w:pPr>
              <w:jc w:val="center"/>
            </w:pPr>
            <w:r>
              <w:rPr>
                <w:sz w:val="18"/>
              </w:rPr>
              <w:t>Filtro e enriquecimento (silver)</w:t>
            </w:r>
          </w:p>
        </w:tc>
        <w:tc>
          <w:tcPr>
            <w:tcW w:w="567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16CA140E" w14:textId="77777777" w:rsidR="00F55D06" w:rsidRDefault="00000000">
            <w:pPr>
              <w:jc w:val="center"/>
            </w:pPr>
            <w:r>
              <w:rPr>
                <w:sz w:val="18"/>
              </w:rPr>
              <w:t>Seleção de sg_uf = 'SC' e aplicação do dicionário NCM–CNAE.</w:t>
            </w:r>
          </w:p>
        </w:tc>
      </w:tr>
      <w:tr w:rsidR="00F55D06" w14:paraId="350D86F2" w14:textId="77777777">
        <w:tc>
          <w:tcPr>
            <w:tcW w:w="85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22CE204" w14:textId="77777777" w:rsidR="00F55D06" w:rsidRDefault="00000000">
            <w:r>
              <w:rPr>
                <w:sz w:val="18"/>
              </w:rPr>
              <w:t>3</w:t>
            </w:r>
          </w:p>
        </w:tc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EE7661B" w14:textId="77777777" w:rsidR="00F55D06" w:rsidRDefault="00000000">
            <w:pPr>
              <w:jc w:val="center"/>
            </w:pPr>
            <w:r>
              <w:rPr>
                <w:sz w:val="18"/>
              </w:rPr>
              <w:t>Agregação (gold)</w:t>
            </w:r>
          </w:p>
        </w:tc>
        <w:tc>
          <w:tcPr>
            <w:tcW w:w="567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E44EB8D" w14:textId="77777777" w:rsidR="00F55D06" w:rsidRDefault="00000000">
            <w:pPr>
              <w:jc w:val="center"/>
            </w:pPr>
            <w:r>
              <w:rPr>
                <w:sz w:val="18"/>
              </w:rPr>
              <w:t>Dados agrupados por {país de destino, CNAE, mês/ano} e armazenados em Parquet.</w:t>
            </w:r>
          </w:p>
        </w:tc>
      </w:tr>
      <w:tr w:rsidR="00F55D06" w14:paraId="2267D432" w14:textId="77777777">
        <w:tc>
          <w:tcPr>
            <w:tcW w:w="85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2FEBC2B" w14:textId="77777777" w:rsidR="00F55D06" w:rsidRDefault="00000000">
            <w:r>
              <w:rPr>
                <w:sz w:val="18"/>
              </w:rPr>
              <w:t>4</w:t>
            </w:r>
          </w:p>
        </w:tc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18597AF" w14:textId="77777777" w:rsidR="00F55D06" w:rsidRDefault="00000000">
            <w:pPr>
              <w:jc w:val="center"/>
            </w:pPr>
            <w:r>
              <w:rPr>
                <w:sz w:val="18"/>
              </w:rPr>
              <w:t>Cálculo dos indicadores</w:t>
            </w:r>
          </w:p>
        </w:tc>
        <w:tc>
          <w:tcPr>
            <w:tcW w:w="567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5D18FB26" w14:textId="77777777" w:rsidR="00F55D06" w:rsidRDefault="00000000">
            <w:pPr>
              <w:jc w:val="center"/>
            </w:pPr>
            <w:r>
              <w:rPr>
                <w:sz w:val="18"/>
              </w:rPr>
              <w:t>Scripts Python (DuckDB + pandas) calculam as métricas de desvio, HHI e receita foregone.</w:t>
            </w:r>
          </w:p>
        </w:tc>
      </w:tr>
      <w:tr w:rsidR="00F55D06" w14:paraId="667AF33B" w14:textId="77777777">
        <w:tc>
          <w:tcPr>
            <w:tcW w:w="85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4445184" w14:textId="77777777" w:rsidR="00F55D06" w:rsidRDefault="00000000">
            <w:r>
              <w:rPr>
                <w:sz w:val="18"/>
              </w:rPr>
              <w:t>5</w:t>
            </w:r>
          </w:p>
        </w:tc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BF7F624" w14:textId="77777777" w:rsidR="00F55D06" w:rsidRDefault="00000000">
            <w:pPr>
              <w:jc w:val="center"/>
            </w:pPr>
            <w:r>
              <w:rPr>
                <w:sz w:val="18"/>
              </w:rPr>
              <w:t>Saída</w:t>
            </w:r>
          </w:p>
        </w:tc>
        <w:tc>
          <w:tcPr>
            <w:tcW w:w="567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2AA9DF8" w14:textId="77777777" w:rsidR="00F55D06" w:rsidRDefault="00000000">
            <w:pPr>
              <w:jc w:val="center"/>
            </w:pPr>
            <w:r>
              <w:rPr>
                <w:sz w:val="18"/>
              </w:rPr>
              <w:t>Resultados escritos no Excel SEAFLOR_2026_JanMai_3anos_v2.xlsx.</w:t>
            </w:r>
          </w:p>
        </w:tc>
      </w:tr>
    </w:tbl>
    <w:p w14:paraId="15D20ADC" w14:textId="77777777" w:rsidR="00F55D06" w:rsidRDefault="00F55D06">
      <w:pPr>
        <w:spacing w:after="80"/>
      </w:pPr>
    </w:p>
    <w:p w14:paraId="35F75E08" w14:textId="77777777" w:rsidR="00F55D06" w:rsidRDefault="00000000">
      <w:pPr>
        <w:pStyle w:val="Ttulo2"/>
      </w:pPr>
      <w:r>
        <w:rPr>
          <w:color w:val="1F4E79"/>
          <w:sz w:val="24"/>
        </w:rPr>
        <w:t>2.4  Recortes Analíticos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701"/>
        <w:gridCol w:w="7087"/>
      </w:tblGrid>
      <w:tr w:rsidR="00F55D06" w14:paraId="07B8FBAF" w14:textId="77777777">
        <w:tc>
          <w:tcPr>
            <w:tcW w:w="170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DDF3704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Recorte</w:t>
            </w:r>
          </w:p>
        </w:tc>
        <w:tc>
          <w:tcPr>
            <w:tcW w:w="708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74E73B0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 w:rsidR="00F55D06" w14:paraId="1D2569B4" w14:textId="77777777">
        <w:tc>
          <w:tcPr>
            <w:tcW w:w="170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E9C2CC2" w14:textId="77777777" w:rsidR="00F55D06" w:rsidRDefault="00000000">
            <w:r>
              <w:rPr>
                <w:sz w:val="18"/>
              </w:rPr>
              <w:t>Temporal</w:t>
            </w:r>
          </w:p>
        </w:tc>
        <w:tc>
          <w:tcPr>
            <w:tcW w:w="708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86DF38E" w14:textId="77777777" w:rsidR="00F55D06" w:rsidRDefault="00000000">
            <w:pPr>
              <w:jc w:val="center"/>
            </w:pPr>
            <w:r>
              <w:rPr>
                <w:sz w:val="18"/>
              </w:rPr>
              <w:t>Janeiro a Maio de cada ano — período simétrico que elimina sazonalidade. Jan–Mai 2026 é o primeiro semestre completo sob tarifas de 50% (vigentes desde 6 de agosto de 2025).</w:t>
            </w:r>
          </w:p>
        </w:tc>
      </w:tr>
      <w:tr w:rsidR="00F55D06" w14:paraId="0765C12E" w14:textId="77777777">
        <w:tc>
          <w:tcPr>
            <w:tcW w:w="170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3F54CD12" w14:textId="77777777" w:rsidR="00F55D06" w:rsidRDefault="00000000">
            <w:r>
              <w:rPr>
                <w:sz w:val="18"/>
              </w:rPr>
              <w:t>Setorial</w:t>
            </w:r>
          </w:p>
        </w:tc>
        <w:tc>
          <w:tcPr>
            <w:tcW w:w="708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334C0B99" w14:textId="77777777" w:rsidR="00F55D06" w:rsidRDefault="00000000">
            <w:pPr>
              <w:jc w:val="center"/>
            </w:pPr>
            <w:r>
              <w:rPr>
                <w:sz w:val="18"/>
              </w:rPr>
              <w:t>CNAE 2 + 16 + 17 + 31 (Complexo Florestal). Os segmentos individuais podem usar filtros adicionais (sc_competitiva), gerando pequenas divergências com o total do Complexo.</w:t>
            </w:r>
          </w:p>
        </w:tc>
      </w:tr>
      <w:tr w:rsidR="00F55D06" w14:paraId="32548D84" w14:textId="77777777">
        <w:tc>
          <w:tcPr>
            <w:tcW w:w="170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65B0B7F5" w14:textId="77777777" w:rsidR="00F55D06" w:rsidRDefault="00000000">
            <w:r>
              <w:rPr>
                <w:sz w:val="18"/>
              </w:rPr>
              <w:t>Geográfico</w:t>
            </w:r>
          </w:p>
        </w:tc>
        <w:tc>
          <w:tcPr>
            <w:tcW w:w="708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78E1F53" w14:textId="77777777" w:rsidR="00F55D06" w:rsidRDefault="00000000">
            <w:pPr>
              <w:jc w:val="center"/>
            </w:pPr>
            <w:r>
              <w:rPr>
                <w:sz w:val="18"/>
              </w:rPr>
              <w:t>EUA = código de país 249 (Estados Unidos). OUT = todos os demais países (complemento de EUA). Para o HHI, inclui todos os países com exportação positiva.</w:t>
            </w:r>
          </w:p>
        </w:tc>
      </w:tr>
    </w:tbl>
    <w:p w14:paraId="70C5DD0A" w14:textId="77777777" w:rsidR="00F55D06" w:rsidRDefault="00F55D06">
      <w:pPr>
        <w:spacing w:after="80"/>
      </w:pPr>
    </w:p>
    <w:p w14:paraId="71BDAB89" w14:textId="77777777" w:rsidR="00F55D06" w:rsidRDefault="00000000">
      <w:pPr>
        <w:pStyle w:val="Ttulo2"/>
      </w:pPr>
      <w:r>
        <w:rPr>
          <w:color w:val="1F4E79"/>
          <w:sz w:val="24"/>
        </w:rPr>
        <w:t>2.5  Notação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593B7FB9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146A9DFC" w14:textId="77777777" w:rsidR="00F55D06" w:rsidRDefault="00000000">
            <w:r>
              <w:rPr>
                <w:b/>
                <w:color w:val="FFFFFF"/>
                <w:sz w:val="20"/>
              </w:rPr>
              <w:t>Notação utilizada ao longo do documento</w:t>
            </w:r>
          </w:p>
        </w:tc>
      </w:tr>
      <w:tr w:rsidR="00F55D06" w14:paraId="19726837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5A9FB85E" w14:textId="77777777" w:rsidR="00F55D06" w:rsidRDefault="00000000">
            <w:pPr>
              <w:spacing w:after="40"/>
            </w:pPr>
            <w:r>
              <w:rPr>
                <w:sz w:val="20"/>
              </w:rPr>
              <w:t>X(d, s, t)  =  valor FOB (US$) exportado pelo setor s para o destino d em Jan–Mai do ano t</w:t>
            </w:r>
          </w:p>
          <w:p w14:paraId="3C70D806" w14:textId="77777777" w:rsidR="00F55D06" w:rsidRDefault="00000000">
            <w:pPr>
              <w:spacing w:after="40"/>
            </w:pPr>
            <w:r>
              <w:rPr>
                <w:sz w:val="20"/>
              </w:rPr>
              <w:t>Q(d, s, t)  =  volume (kg líquido) exportado pelo setor s para o destino d em Jan–Mai do ano t</w:t>
            </w:r>
          </w:p>
          <w:p w14:paraId="501C2AE8" w14:textId="77777777" w:rsidR="00F55D06" w:rsidRDefault="00000000">
            <w:pPr>
              <w:spacing w:after="40"/>
            </w:pPr>
            <w:r>
              <w:rPr>
                <w:sz w:val="20"/>
              </w:rPr>
              <w:t>X_TOT(s, t) =  total exportado pelo setor s em Jan–Mai do ano t (soma sobre todos os destinos)</w:t>
            </w:r>
          </w:p>
          <w:p w14:paraId="63A6E01E" w14:textId="77777777" w:rsidR="00F55D06" w:rsidRDefault="00000000">
            <w:pPr>
              <w:spacing w:after="40"/>
            </w:pPr>
            <w:r>
              <w:rPr>
                <w:sz w:val="20"/>
              </w:rPr>
              <w:lastRenderedPageBreak/>
              <w:t>EUA  =  destino 'Estados Unidos' (código ISO 249)</w:t>
            </w:r>
          </w:p>
          <w:p w14:paraId="13F0D6F0" w14:textId="77777777" w:rsidR="00F55D06" w:rsidRDefault="00000000">
            <w:pPr>
              <w:spacing w:after="40"/>
            </w:pPr>
            <w:r>
              <w:rPr>
                <w:sz w:val="20"/>
              </w:rPr>
              <w:t>OUT  =  todos os destinos exceto EUA</w:t>
            </w:r>
          </w:p>
        </w:tc>
      </w:tr>
    </w:tbl>
    <w:p w14:paraId="5514D434" w14:textId="77777777" w:rsidR="00F55D06" w:rsidRDefault="00F55D06">
      <w:pPr>
        <w:spacing w:after="80"/>
      </w:pPr>
    </w:p>
    <w:p w14:paraId="1B1DC102" w14:textId="77777777" w:rsidR="00F55D06" w:rsidRDefault="00000000">
      <w:pPr>
        <w:pStyle w:val="Ttulo1"/>
      </w:pPr>
      <w:r>
        <w:rPr>
          <w:color w:val="1F4E79"/>
        </w:rPr>
        <w:t>3. Metodologia 1 — Decomposição do Impacto Tarifário</w:t>
      </w:r>
    </w:p>
    <w:p w14:paraId="5F8235B4" w14:textId="77777777" w:rsidR="00F55D06" w:rsidRDefault="00000000">
      <w:pPr>
        <w:pStyle w:val="Ttulo2"/>
      </w:pPr>
      <w:r>
        <w:rPr>
          <w:color w:val="1F4E79"/>
          <w:sz w:val="24"/>
        </w:rPr>
        <w:t>3.1  Lógica Conceitual</w:t>
      </w:r>
    </w:p>
    <w:p w14:paraId="21531B46" w14:textId="77777777" w:rsidR="00F55D06" w:rsidRDefault="00000000">
      <w:pPr>
        <w:spacing w:after="80"/>
        <w:jc w:val="both"/>
      </w:pPr>
      <w:r>
        <w:t>A decomposição adapta ao contexto tarifário a distinção clássica de Jacob Viner (1950) entre trade creation e trade diversion, originalmente desenvolvida para uniões aduaneiras. A lógica central se desenvolve em quatro movimentos:</w:t>
      </w:r>
    </w:p>
    <w:p w14:paraId="0C4A20F4" w14:textId="77777777" w:rsidR="00F55D06" w:rsidRDefault="00000000">
      <w:pPr>
        <w:pStyle w:val="Commarcadores"/>
        <w:spacing w:after="40"/>
      </w:pPr>
      <w:r>
        <w:rPr>
          <w:sz w:val="20"/>
        </w:rPr>
        <w:t>Quando os EUA impõem tarifa, o exportador catarinense perde competitividade naquele mercado — o comércio com os EUA é DESTRUÍDO.</w:t>
      </w:r>
    </w:p>
    <w:p w14:paraId="12DEDFEC" w14:textId="77777777" w:rsidR="00F55D06" w:rsidRDefault="00000000">
      <w:pPr>
        <w:pStyle w:val="Commarcadores"/>
        <w:spacing w:after="40"/>
      </w:pPr>
      <w:r>
        <w:rPr>
          <w:sz w:val="20"/>
        </w:rPr>
        <w:t>Parte dessa destruição pode ser compensada se o exportador redireciona produção a outros destinos — há DESVIO DE COMÉRCIO para fora dos EUA.</w:t>
      </w:r>
    </w:p>
    <w:p w14:paraId="0B412BD1" w14:textId="77777777" w:rsidR="00F55D06" w:rsidRDefault="00000000">
      <w:pPr>
        <w:pStyle w:val="Commarcadores"/>
        <w:spacing w:after="40"/>
      </w:pPr>
      <w:r>
        <w:rPr>
          <w:sz w:val="20"/>
        </w:rPr>
        <w:t>O que sobra após o desvio é a DESTRUIÇÃO LÍQUIDA: a perda real e não compensada de receita em valor.</w:t>
      </w:r>
    </w:p>
    <w:p w14:paraId="5E3AA48D" w14:textId="77777777" w:rsidR="00F55D06" w:rsidRDefault="00000000">
      <w:pPr>
        <w:pStyle w:val="Commarcadores"/>
        <w:spacing w:after="40"/>
      </w:pPr>
      <w:r>
        <w:rPr>
          <w:sz w:val="20"/>
        </w:rPr>
        <w:t>Mas mesmo com desvio pode haver perda de receita por PREÇO: o mercado americano paga preços unitários superiores. Se a produção desviada obtém preço inferior, a receita cai mesmo que o volume não caia — esse é o EFEITO-PREÇO.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25A58087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AC794D6" w14:textId="77777777" w:rsidR="00F55D06" w:rsidRDefault="00000000">
            <w:r>
              <w:rPr>
                <w:b/>
                <w:color w:val="FFFFFF"/>
                <w:sz w:val="20"/>
              </w:rPr>
              <w:t>Fluxo lógico da decomposição</w:t>
            </w:r>
          </w:p>
        </w:tc>
      </w:tr>
      <w:tr w:rsidR="00F55D06" w14:paraId="7D2BDCF2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59408A04" w14:textId="478B24F3" w:rsidR="00F55D06" w:rsidRDefault="00B27DEA">
            <w:pPr>
              <w:spacing w:after="40"/>
            </w:pPr>
            <m:oMathPara>
              <m:oMath>
                <m:r>
                  <w:rPr>
                    <w:rFonts w:ascii="Cambria Math" w:hAnsi="Cambria Math"/>
                  </w:rPr>
                  <m:t>DB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-DC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=DL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oMath>
            </m:oMathPara>
          </w:p>
          <w:p w14:paraId="1BFBA687" w14:textId="77777777" w:rsidR="00F55D06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 xml:space="preserve">  Destruição Bruta</w:t>
            </w:r>
            <w:r>
              <w:rPr>
                <w:sz w:val="20"/>
              </w:rPr>
              <w:t xml:space="preserve">  menos  </w:t>
            </w:r>
            <w:r>
              <w:rPr>
                <w:b/>
                <w:color w:val="375623"/>
                <w:sz w:val="20"/>
              </w:rPr>
              <w:t>Desvio de Comércio</w:t>
            </w:r>
            <w:r>
              <w:rPr>
                <w:sz w:val="20"/>
              </w:rPr>
              <w:t xml:space="preserve">  igual  </w:t>
            </w:r>
            <w:r>
              <w:rPr>
                <w:b/>
                <w:color w:val="1F4E79"/>
                <w:sz w:val="20"/>
              </w:rPr>
              <w:t>Destruição Líquida</w:t>
            </w:r>
          </w:p>
          <w:p w14:paraId="2030522D" w14:textId="77777777" w:rsidR="00F55D06" w:rsidRDefault="00F55D06">
            <w:pPr>
              <w:spacing w:after="40"/>
            </w:pPr>
          </w:p>
          <w:p w14:paraId="78CD469C" w14:textId="601F68DE" w:rsidR="00F55D06" w:rsidRDefault="00B27DEA">
            <w:pPr>
              <w:spacing w:after="40"/>
            </w:pPr>
            <m:oMathPara>
              <m:oMath>
                <m:r>
                  <w:rPr>
                    <w:rFonts w:ascii="Cambria Math" w:hAnsi="Cambria Math"/>
                  </w:rPr>
                  <m:t>DL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+EP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=PT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oMath>
            </m:oMathPara>
          </w:p>
          <w:p w14:paraId="761ACCB3" w14:textId="77777777" w:rsidR="00F55D06" w:rsidRDefault="00000000">
            <w:pPr>
              <w:spacing w:after="40"/>
            </w:pPr>
            <w:r>
              <w:rPr>
                <w:b/>
                <w:color w:val="1F4E79"/>
                <w:sz w:val="20"/>
              </w:rPr>
              <w:t xml:space="preserve">  Destruição Líquida</w:t>
            </w:r>
            <w:r>
              <w:rPr>
                <w:sz w:val="20"/>
              </w:rPr>
              <w:t xml:space="preserve">  mais  </w:t>
            </w:r>
            <w:r>
              <w:rPr>
                <w:b/>
                <w:color w:val="C55A11"/>
                <w:sz w:val="20"/>
              </w:rPr>
              <w:t>Efeito-Preço</w:t>
            </w:r>
            <w:r>
              <w:rPr>
                <w:sz w:val="20"/>
              </w:rPr>
              <w:t xml:space="preserve">  igual  </w:t>
            </w:r>
            <w:r>
              <w:rPr>
                <w:b/>
                <w:color w:val="C00000"/>
                <w:sz w:val="20"/>
              </w:rPr>
              <w:t>Perda Total</w:t>
            </w:r>
          </w:p>
        </w:tc>
      </w:tr>
    </w:tbl>
    <w:p w14:paraId="16C81BBD" w14:textId="77777777" w:rsidR="00F55D06" w:rsidRDefault="00F55D06">
      <w:pPr>
        <w:spacing w:after="80"/>
      </w:pPr>
    </w:p>
    <w:p w14:paraId="15DCE3D3" w14:textId="77777777" w:rsidR="00F55D06" w:rsidRDefault="00000000">
      <w:pPr>
        <w:pStyle w:val="Ttulo2"/>
      </w:pPr>
      <w:r>
        <w:rPr>
          <w:color w:val="1F4E79"/>
          <w:sz w:val="24"/>
        </w:rPr>
        <w:t>3.2  Destruição Bruta (DB)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2B98CEED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61CD80A" w14:textId="77777777" w:rsidR="00F55D06" w:rsidRDefault="00000000">
            <w:r>
              <w:rPr>
                <w:b/>
                <w:color w:val="FFFFFF"/>
                <w:sz w:val="20"/>
              </w:rPr>
              <w:t>Fórmula — Destruição Bruta</w:t>
            </w:r>
          </w:p>
        </w:tc>
      </w:tr>
      <w:tr w:rsidR="00F55D06" w14:paraId="7F1027AD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20472507" w14:textId="6A1B5568" w:rsidR="00F55D06" w:rsidRDefault="00B27DEA">
            <w:pPr>
              <w:spacing w:after="40"/>
            </w:pPr>
            <m:oMathPara>
              <m:oMath>
                <m:r>
                  <w:rPr>
                    <w:rFonts w:ascii="Cambria Math" w:hAnsi="Cambria Math"/>
                  </w:rPr>
                  <m:t>DB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EUA,s,2025</m:t>
                    </m:r>
                  </m:e>
                </m:d>
                <m:r>
                  <w:rPr>
                    <w:rFonts w:ascii="Cambria Math" w:hAnsi="Cambria Math"/>
                  </w:rPr>
                  <m:t>-X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EUA,s,2026</m:t>
                    </m:r>
                  </m:e>
                </m:d>
              </m:oMath>
            </m:oMathPara>
          </w:p>
          <w:p w14:paraId="64644998" w14:textId="77777777" w:rsidR="00F55D06" w:rsidRDefault="00F55D06">
            <w:pPr>
              <w:spacing w:after="40"/>
            </w:pPr>
          </w:p>
          <w:p w14:paraId="76683411" w14:textId="77777777" w:rsidR="00F55D06" w:rsidRDefault="00000000">
            <w:pPr>
              <w:spacing w:after="40"/>
            </w:pPr>
            <w:r>
              <w:rPr>
                <w:sz w:val="20"/>
              </w:rPr>
              <w:t>onde:</w:t>
            </w:r>
          </w:p>
          <w:p w14:paraId="16A266F1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X(EUA, s, 2025) = exportações do setor s para os EUA em Jan–Mai 2025</w:t>
            </w:r>
          </w:p>
          <w:p w14:paraId="6F53DB47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X(EUA, s, 2026) = exportações do setor s para os EUA em Jan–Mai 2026</w:t>
            </w:r>
          </w:p>
        </w:tc>
      </w:tr>
    </w:tbl>
    <w:p w14:paraId="29CF25D7" w14:textId="77777777" w:rsidR="00F55D06" w:rsidRDefault="00F55D06">
      <w:pPr>
        <w:spacing w:after="80"/>
      </w:pPr>
    </w:p>
    <w:p w14:paraId="0AEB64AD" w14:textId="77777777" w:rsidR="00F55D06" w:rsidRDefault="00000000">
      <w:pPr>
        <w:spacing w:after="80"/>
        <w:jc w:val="both"/>
      </w:pPr>
      <w:r>
        <w:t>O que mede: a queda absoluta em dólares nas exportações para os EUA entre Jan–Mai 2025 e Jan–Mai 2026.</w:t>
      </w:r>
    </w:p>
    <w:p w14:paraId="038203D6" w14:textId="77777777" w:rsidR="00F55D06" w:rsidRDefault="00000000">
      <w:pPr>
        <w:pStyle w:val="Commarcadores"/>
        <w:spacing w:after="40"/>
      </w:pPr>
      <w:r>
        <w:rPr>
          <w:sz w:val="20"/>
        </w:rPr>
        <w:t>DB(s) &gt; 0: houve queda nas exportações para os EUA. Caso de Madeira (CNAE 16) e Móveis (CNAE 31).</w:t>
      </w:r>
    </w:p>
    <w:p w14:paraId="2DD9EB0E" w14:textId="77777777" w:rsidR="00F55D06" w:rsidRDefault="00000000">
      <w:pPr>
        <w:pStyle w:val="Commarcadores"/>
        <w:spacing w:after="40"/>
      </w:pPr>
      <w:r>
        <w:rPr>
          <w:sz w:val="20"/>
        </w:rPr>
        <w:t>DB(s) &lt; 0: as exportações para os EUA CRESCERAM no período. Caso da Base Florestal (CNAE 2), possivelmente por contratos de longo prazo firmados antes das tarifas.</w:t>
      </w:r>
    </w:p>
    <w:tbl>
      <w:tblPr>
        <w:tblW w:w="0" w:type="auto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5DB5B331" w14:textId="77777777">
        <w:tc>
          <w:tcPr>
            <w:tcW w:w="9122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C00000"/>
          </w:tcPr>
          <w:p w14:paraId="1C1B4869" w14:textId="77777777" w:rsidR="00F55D06" w:rsidRDefault="00000000">
            <w:r>
              <w:rPr>
                <w:b/>
                <w:color w:val="FFFFFF"/>
                <w:sz w:val="20"/>
              </w:rPr>
              <w:lastRenderedPageBreak/>
              <w:t>⚠  Atenção</w:t>
            </w:r>
          </w:p>
        </w:tc>
      </w:tr>
      <w:tr w:rsidR="00F55D06" w14:paraId="3A32337A" w14:textId="77777777">
        <w:tc>
          <w:tcPr>
            <w:tcW w:w="9122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0F0"/>
          </w:tcPr>
          <w:p w14:paraId="1EA850D8" w14:textId="77777777" w:rsidR="00F55D06" w:rsidRDefault="00000000">
            <w:pPr>
              <w:spacing w:after="40"/>
            </w:pPr>
            <w:r>
              <w:rPr>
                <w:sz w:val="20"/>
              </w:rPr>
              <w:t>DB(s) mede o efeito sobre o canal EUA, não sobre o total exportado. Um setor pode exportar mais no total e ainda ter DB(s) &gt; 0, se a perda nos EUA for compensada por outros destinos.</w:t>
            </w:r>
          </w:p>
        </w:tc>
      </w:tr>
    </w:tbl>
    <w:p w14:paraId="32EDB453" w14:textId="77777777" w:rsidR="00F55D06" w:rsidRDefault="00F55D06">
      <w:pPr>
        <w:spacing w:after="80"/>
      </w:pPr>
    </w:p>
    <w:p w14:paraId="642BA84C" w14:textId="77777777" w:rsidR="00F55D06" w:rsidRDefault="00000000">
      <w:pPr>
        <w:pStyle w:val="Ttulo2"/>
      </w:pPr>
      <w:r>
        <w:rPr>
          <w:color w:val="1F4E79"/>
          <w:sz w:val="24"/>
        </w:rPr>
        <w:t>3.3  Desvio de Comércio (DC)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452F3F9D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9E444C5" w14:textId="77777777" w:rsidR="00F55D06" w:rsidRDefault="00000000">
            <w:r>
              <w:rPr>
                <w:b/>
                <w:color w:val="FFFFFF"/>
                <w:sz w:val="20"/>
              </w:rPr>
              <w:t>Fórmula — Desvio de Comércio</w:t>
            </w:r>
          </w:p>
        </w:tc>
      </w:tr>
      <w:tr w:rsidR="00F55D06" w14:paraId="14718B71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40A8423A" w14:textId="018568E7" w:rsidR="00F55D06" w:rsidRDefault="00B27DEA">
            <w:pPr>
              <w:spacing w:after="40"/>
            </w:pPr>
            <m:oMathPara>
              <m:oMath>
                <m:r>
                  <w:rPr>
                    <w:rFonts w:ascii="Cambria Math" w:hAnsi="Cambria Math"/>
                  </w:rPr>
                  <m:t>DC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=máx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OUT,s,2026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OUT,s,2025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;0</m:t>
                    </m:r>
                  </m:e>
                </m:d>
              </m:oMath>
            </m:oMathPara>
          </w:p>
          <w:p w14:paraId="12017CE5" w14:textId="77777777" w:rsidR="00F55D06" w:rsidRDefault="00F55D06">
            <w:pPr>
              <w:spacing w:after="40"/>
            </w:pPr>
          </w:p>
          <w:p w14:paraId="5E211E27" w14:textId="77777777" w:rsidR="00F55D06" w:rsidRDefault="00000000">
            <w:pPr>
              <w:spacing w:after="40"/>
            </w:pPr>
            <w:r>
              <w:rPr>
                <w:sz w:val="20"/>
              </w:rPr>
              <w:t>onde:</w:t>
            </w:r>
          </w:p>
          <w:p w14:paraId="378EAA84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X(OUT, s, t) = exportações do setor s para todos os destinos EXCETO EUA em Jan–Mai do ano t</w:t>
            </w:r>
          </w:p>
          <w:p w14:paraId="77305674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máx[ · ; 0 ] = a fórmula retorna zero se o resultado for negativo</w:t>
            </w:r>
          </w:p>
        </w:tc>
      </w:tr>
    </w:tbl>
    <w:p w14:paraId="62FF25B8" w14:textId="77777777" w:rsidR="00F55D06" w:rsidRDefault="00F55D06">
      <w:pPr>
        <w:spacing w:after="80"/>
      </w:pPr>
    </w:p>
    <w:p w14:paraId="71570278" w14:textId="77777777" w:rsidR="00F55D06" w:rsidRDefault="00000000">
      <w:pPr>
        <w:spacing w:after="80"/>
        <w:jc w:val="both"/>
      </w:pPr>
      <w:r>
        <w:t>O que mede: o ganho líquido nas exportações para mercados diferentes dos EUA. Se o setor expandiu vendas ao resto do mundo, esse incremento representa a parcela da produção antes destinada aos EUA que foi redirecionada com sucesso.</w:t>
      </w:r>
    </w:p>
    <w:p w14:paraId="3206B4C0" w14:textId="77777777" w:rsidR="00F55D06" w:rsidRDefault="00000000">
      <w:pPr>
        <w:spacing w:after="80"/>
        <w:jc w:val="both"/>
      </w:pPr>
      <w:r>
        <w:t>Por que usar máx(·, 0)? Se as exportações para fora dos EUA CAÍRAM, isso é uma perda adicional — não uma compensação. Nesses casos, DC(s) = 0 e toda a destruição bruta é líquida.</w:t>
      </w:r>
    </w:p>
    <w:tbl>
      <w:tblPr>
        <w:tblW w:w="0" w:type="auto"/>
        <w:tblBorders>
          <w:top w:val="single" w:sz="8" w:space="0" w:color="375623"/>
          <w:left w:val="single" w:sz="8" w:space="0" w:color="375623"/>
          <w:bottom w:val="single" w:sz="8" w:space="0" w:color="375623"/>
          <w:right w:val="single" w:sz="8" w:space="0" w:color="375623"/>
          <w:insideH w:val="single" w:sz="8" w:space="0" w:color="375623"/>
          <w:insideV w:val="single" w:sz="8" w:space="0" w:color="375623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28ADFB73" w14:textId="77777777">
        <w:tc>
          <w:tcPr>
            <w:tcW w:w="9122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375623"/>
          </w:tcPr>
          <w:p w14:paraId="4650E6AB" w14:textId="77777777" w:rsidR="00F55D06" w:rsidRDefault="00000000">
            <w:r>
              <w:rPr>
                <w:b/>
                <w:color w:val="FFFFFF"/>
                <w:sz w:val="20"/>
              </w:rPr>
              <w:t>✔  Como interpretar</w:t>
            </w:r>
          </w:p>
        </w:tc>
      </w:tr>
      <w:tr w:rsidR="00F55D06" w14:paraId="10F45749" w14:textId="77777777">
        <w:tc>
          <w:tcPr>
            <w:tcW w:w="9122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E8F5E9"/>
          </w:tcPr>
          <w:p w14:paraId="35942FA3" w14:textId="77777777" w:rsidR="00F55D06" w:rsidRDefault="00000000">
            <w:pPr>
              <w:spacing w:after="40"/>
            </w:pPr>
            <w:r>
              <w:rPr>
                <w:sz w:val="20"/>
              </w:rPr>
              <w:t>Um DC(s) elevado indica resiliência exportadora: o setor encontrou mercados alternativos. Um DC(s) ≈ 0 indica que a perda nos EUA não foi compensada — o volume antes destinado a esse mercado não foi absorvido por outros compradores.</w:t>
            </w:r>
          </w:p>
        </w:tc>
      </w:tr>
    </w:tbl>
    <w:p w14:paraId="08C5418C" w14:textId="77777777" w:rsidR="00F55D06" w:rsidRDefault="00F55D06">
      <w:pPr>
        <w:spacing w:after="80"/>
      </w:pPr>
    </w:p>
    <w:p w14:paraId="127049EA" w14:textId="77777777" w:rsidR="00F55D06" w:rsidRDefault="00000000">
      <w:pPr>
        <w:pStyle w:val="Ttulo2"/>
      </w:pPr>
      <w:r>
        <w:rPr>
          <w:color w:val="1F4E79"/>
          <w:sz w:val="24"/>
        </w:rPr>
        <w:t>3.4  Destruição Líquida (DL)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6B8E5579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8D0565E" w14:textId="77777777" w:rsidR="00F55D06" w:rsidRDefault="00000000">
            <w:r>
              <w:rPr>
                <w:b/>
                <w:color w:val="FFFFFF"/>
                <w:sz w:val="20"/>
              </w:rPr>
              <w:t>Fórmula — Destruição Líquida</w:t>
            </w:r>
          </w:p>
        </w:tc>
      </w:tr>
      <w:tr w:rsidR="00F55D06" w14:paraId="73CA0EEF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4E71F094" w14:textId="7D936F7B" w:rsidR="00F55D06" w:rsidRDefault="00B27DEA">
            <w:pPr>
              <w:spacing w:after="40"/>
            </w:pPr>
            <m:oMathPara>
              <m:oMath>
                <m:r>
                  <w:rPr>
                    <w:rFonts w:ascii="Cambria Math" w:hAnsi="Cambria Math"/>
                  </w:rPr>
                  <m:t>DL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=DB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-DC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oMath>
            </m:oMathPara>
          </w:p>
          <w:p w14:paraId="04272DB8" w14:textId="77777777" w:rsidR="00F55D06" w:rsidRDefault="00F55D06">
            <w:pPr>
              <w:spacing w:after="40"/>
            </w:pPr>
          </w:p>
          <w:p w14:paraId="6E11980D" w14:textId="77777777" w:rsidR="00F55D06" w:rsidRDefault="00000000">
            <w:pPr>
              <w:spacing w:after="40"/>
            </w:pPr>
            <w:r>
              <w:rPr>
                <w:sz w:val="20"/>
              </w:rPr>
              <w:t>Impacto líquido das tarifas sobre o valor total exportado,</w:t>
            </w:r>
          </w:p>
          <w:p w14:paraId="34030B02" w14:textId="77777777" w:rsidR="00F55D06" w:rsidRDefault="00000000">
            <w:pPr>
              <w:spacing w:after="40"/>
            </w:pPr>
            <w:r>
              <w:rPr>
                <w:sz w:val="20"/>
              </w:rPr>
              <w:t>após descontar a compensação obtida em outros mercados.</w:t>
            </w:r>
          </w:p>
        </w:tc>
      </w:tr>
    </w:tbl>
    <w:p w14:paraId="29ABE468" w14:textId="77777777" w:rsidR="00F55D06" w:rsidRDefault="00F55D06">
      <w:pPr>
        <w:spacing w:after="80"/>
      </w:pPr>
    </w:p>
    <w:p w14:paraId="42662DBE" w14:textId="77777777" w:rsidR="00F55D06" w:rsidRDefault="00000000">
      <w:pPr>
        <w:pStyle w:val="Commarcadores"/>
        <w:spacing w:after="40"/>
      </w:pPr>
      <w:r>
        <w:rPr>
          <w:sz w:val="20"/>
        </w:rPr>
        <w:t>DL(s) &gt; 0: a perda nos EUA supera o ganho em outros mercados. Caso de Madeira e Móveis.</w:t>
      </w:r>
    </w:p>
    <w:p w14:paraId="64F5A232" w14:textId="77777777" w:rsidR="00F55D06" w:rsidRDefault="00000000">
      <w:pPr>
        <w:pStyle w:val="Commarcadores"/>
        <w:spacing w:after="40"/>
      </w:pPr>
      <w:r>
        <w:rPr>
          <w:sz w:val="20"/>
        </w:rPr>
        <w:t>DL(s) &lt; 0: os ganhos em outros mercados superaram a perda nos EUA — o setor CRESCEU em valor total. Caso do Papel e Celulose (CNAE 17).</w:t>
      </w:r>
    </w:p>
    <w:p w14:paraId="3E5C3FA4" w14:textId="77777777" w:rsidR="00F55D06" w:rsidRDefault="00000000">
      <w:pPr>
        <w:pStyle w:val="Ttulo2"/>
      </w:pPr>
      <w:r>
        <w:rPr>
          <w:color w:val="1F4E79"/>
          <w:sz w:val="24"/>
        </w:rPr>
        <w:t>3.5  Prêmio de Mercado EUA e Efeito-Preço (EP)</w:t>
      </w:r>
    </w:p>
    <w:p w14:paraId="74024A7F" w14:textId="77777777" w:rsidR="00F55D06" w:rsidRDefault="00000000">
      <w:pPr>
        <w:spacing w:after="80"/>
        <w:jc w:val="both"/>
      </w:pPr>
      <w:r>
        <w:t>Mesmo quando o desvio compensa a perda em volume, o setor pode estar exportando a um preço unitário inferior ao praticado com os EUA. Esse diferencial é o Prêmio de Mercado EUA (π).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301F0299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16F0D4C3" w14:textId="77777777" w:rsidR="00F55D06" w:rsidRDefault="00000000">
            <w:r>
              <w:rPr>
                <w:b/>
                <w:color w:val="FFFFFF"/>
                <w:sz w:val="20"/>
              </w:rPr>
              <w:lastRenderedPageBreak/>
              <w:t>Fórmulas — Prêmio EUA e Efeito-Preço</w:t>
            </w:r>
          </w:p>
        </w:tc>
      </w:tr>
      <w:tr w:rsidR="00F55D06" w14:paraId="3A838EB4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30B3858B" w14:textId="78B03DF5" w:rsidR="00F55D06" w:rsidRDefault="00B27DEA">
            <w:pPr>
              <w:spacing w:after="40"/>
            </w:pPr>
            <m:oMathPara>
              <m:oMath>
                <m:r>
                  <m:rPr>
                    <m:nor/>
                  </m:rPr>
                  <m:t xml:space="preserve">Valor unitário médio:   </m:t>
                </m:r>
                <m:r>
                  <w:rPr>
                    <w:rFonts w:ascii="Cambria Math" w:hAnsi="Cambria Math"/>
                  </w:rPr>
                  <m:t>VU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d,s,t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d,s,t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d,s,t</m:t>
                        </m:r>
                      </m:e>
                    </m:d>
                  </m:den>
                </m:f>
                <m:r>
                  <m:rPr>
                    <m:nor/>
                  </m:rPr>
                  <m:t xml:space="preserve">     [US$/kg]</m:t>
                </m:r>
              </m:oMath>
            </m:oMathPara>
          </w:p>
          <w:p w14:paraId="7216F6CA" w14:textId="77777777" w:rsidR="00F55D06" w:rsidRDefault="00F55D06">
            <w:pPr>
              <w:spacing w:after="40"/>
            </w:pPr>
          </w:p>
          <w:p w14:paraId="7606A6A7" w14:textId="77777777" w:rsidR="00F55D06" w:rsidRDefault="00000000">
            <w:pPr>
              <w:spacing w:after="40"/>
            </w:pPr>
            <w:r>
              <w:rPr>
                <w:sz w:val="20"/>
              </w:rPr>
              <w:t>Prêmio de Mercado EUA:</w:t>
            </w:r>
          </w:p>
          <w:p w14:paraId="78345DDC" w14:textId="129F30D4" w:rsidR="00F55D06" w:rsidRDefault="00B27DEA">
            <w:pPr>
              <w:spacing w:after="40"/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=VU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EUA,s,2025</m:t>
                    </m:r>
                  </m:e>
                </m:d>
                <m:r>
                  <w:rPr>
                    <w:rFonts w:ascii="Cambria Math" w:hAnsi="Cambria Math"/>
                  </w:rPr>
                  <m:t>-VU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OUT,s,2025</m:t>
                    </m:r>
                  </m:e>
                </m:d>
              </m:oMath>
            </m:oMathPara>
          </w:p>
          <w:p w14:paraId="0C01B13E" w14:textId="77777777" w:rsidR="00F55D06" w:rsidRDefault="00F55D06">
            <w:pPr>
              <w:spacing w:after="40"/>
            </w:pPr>
          </w:p>
          <w:p w14:paraId="37F955CA" w14:textId="77777777" w:rsidR="00F55D06" w:rsidRDefault="00000000">
            <w:pPr>
              <w:spacing w:after="40"/>
            </w:pPr>
            <w:r>
              <w:rPr>
                <w:sz w:val="20"/>
              </w:rPr>
              <w:t>Efeito-Preço:</w:t>
            </w:r>
          </w:p>
          <w:p w14:paraId="735CFE0C" w14:textId="323B8C98" w:rsidR="00F55D06" w:rsidRDefault="00B27DEA">
            <w:pPr>
              <w:spacing w:after="40"/>
            </w:pPr>
            <m:oMathPara>
              <m:oMath>
                <m:r>
                  <w:rPr>
                    <w:rFonts w:ascii="Cambria Math" w:hAnsi="Cambria Math"/>
                  </w:rPr>
                  <m:t>EP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=máx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ΔQ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OUT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,0</m:t>
                    </m:r>
                  </m:e>
                </m:d>
                <m:r>
                  <w:rPr>
                    <w:rFonts w:ascii="Cambria Math" w:hAnsi="Cambria Math"/>
                  </w:rPr>
                  <m:t>×máx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,0</m:t>
                    </m:r>
                  </m:e>
                </m:d>
              </m:oMath>
            </m:oMathPara>
          </w:p>
          <w:p w14:paraId="518B0021" w14:textId="77777777" w:rsidR="00F55D06" w:rsidRDefault="00F55D06">
            <w:pPr>
              <w:spacing w:after="40"/>
            </w:pPr>
          </w:p>
          <w:p w14:paraId="5C90CFDF" w14:textId="6E1A4412" w:rsidR="00F55D06" w:rsidRDefault="00B27DEA">
            <w:pPr>
              <w:spacing w:after="40"/>
            </w:pPr>
            <m:oMathPara>
              <m:oMath>
                <m:r>
                  <m:rPr>
                    <m:nor/>
                  </m:rPr>
                  <m:t xml:space="preserve">onde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OUT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=Q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OUT,s,2026</m:t>
                    </m:r>
                  </m:e>
                </m:d>
                <m:r>
                  <w:rPr>
                    <w:rFonts w:ascii="Cambria Math" w:hAnsi="Cambria Math"/>
                  </w:rPr>
                  <m:t>-Q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OUT,s,2025</m:t>
                    </m:r>
                  </m:e>
                </m:d>
                <m:r>
                  <m:rPr>
                    <m:nor/>
                  </m:rPr>
                  <m:t xml:space="preserve">   [variação de volume em kg]</m:t>
                </m:r>
              </m:oMath>
            </m:oMathPara>
          </w:p>
        </w:tc>
      </w:tr>
    </w:tbl>
    <w:p w14:paraId="6406706C" w14:textId="77777777" w:rsidR="00F55D06" w:rsidRDefault="00F55D06">
      <w:pPr>
        <w:spacing w:after="80"/>
      </w:pPr>
    </w:p>
    <w:p w14:paraId="6613C1B0" w14:textId="77777777" w:rsidR="00F55D06" w:rsidRDefault="00000000">
      <w:pPr>
        <w:spacing w:after="80"/>
        <w:jc w:val="both"/>
      </w:pPr>
      <w:r>
        <w:t>Intuição: se o setor enviou mais quilos para outros mercados (ΔQ &gt; 0), mas a um preço inferior ao americano (π &gt; 0), houve perda de receita por unidade desviada. O Efeito-Preço quantifica esse custo de oportunidade.</w:t>
      </w:r>
    </w:p>
    <w:tbl>
      <w:tblPr>
        <w:tblW w:w="0" w:type="auto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08C27539" w14:textId="77777777">
        <w:tc>
          <w:tcPr>
            <w:tcW w:w="9122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C00000"/>
          </w:tcPr>
          <w:p w14:paraId="1EFA70B4" w14:textId="77777777" w:rsidR="00F55D06" w:rsidRDefault="00000000">
            <w:r>
              <w:rPr>
                <w:b/>
                <w:color w:val="FFFFFF"/>
                <w:sz w:val="20"/>
              </w:rPr>
              <w:t>⚠  Atenção</w:t>
            </w:r>
          </w:p>
        </w:tc>
      </w:tr>
      <w:tr w:rsidR="00F55D06" w14:paraId="5405CBA5" w14:textId="77777777">
        <w:tc>
          <w:tcPr>
            <w:tcW w:w="9122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0F0"/>
          </w:tcPr>
          <w:p w14:paraId="2717B84B" w14:textId="77777777" w:rsidR="00F55D06" w:rsidRDefault="00000000">
            <w:pPr>
              <w:spacing w:after="40"/>
            </w:pPr>
            <w:r>
              <w:rPr>
                <w:sz w:val="20"/>
              </w:rPr>
              <w:t>O Efeito-Preço usa o prêmio de 2025 como referência, não de 2026. Isso evita contaminação pelo próprio choque tarifário (que poderia ter alterado os preços dos EUA em 2026). O prêmio de 2025 representa o equilíbrio pré-choque.</w:t>
            </w:r>
          </w:p>
        </w:tc>
      </w:tr>
    </w:tbl>
    <w:p w14:paraId="7D624DD5" w14:textId="77777777" w:rsidR="00F55D06" w:rsidRDefault="00F55D06">
      <w:pPr>
        <w:spacing w:after="80"/>
      </w:pPr>
    </w:p>
    <w:p w14:paraId="3F50DCDD" w14:textId="77777777" w:rsidR="00F55D06" w:rsidRDefault="00000000">
      <w:pPr>
        <w:pStyle w:val="Ttulo2"/>
      </w:pPr>
      <w:r>
        <w:rPr>
          <w:color w:val="1F4E79"/>
          <w:sz w:val="24"/>
        </w:rPr>
        <w:t>3.6  Perda Total (PT)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5AF06C1F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1C35E720" w14:textId="77777777" w:rsidR="00F55D06" w:rsidRDefault="00000000">
            <w:r>
              <w:rPr>
                <w:b/>
                <w:color w:val="FFFFFF"/>
                <w:sz w:val="20"/>
              </w:rPr>
              <w:t>Fórmula — Perda Total (Método A)</w:t>
            </w:r>
          </w:p>
        </w:tc>
      </w:tr>
      <w:tr w:rsidR="00F55D06" w14:paraId="731CA6E0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5470D5A0" w14:textId="1BE45358" w:rsidR="00F55D06" w:rsidRDefault="00B27DEA">
            <w:pPr>
              <w:spacing w:after="40"/>
            </w:pPr>
            <m:oMathPara>
              <m:oMath>
                <m:r>
                  <w:rPr>
                    <w:rFonts w:ascii="Cambria Math" w:hAnsi="Cambria Math"/>
                  </w:rPr>
                  <m:t>PT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=DL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+EP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oMath>
            </m:oMathPara>
          </w:p>
          <w:p w14:paraId="07C03857" w14:textId="77777777" w:rsidR="00F55D06" w:rsidRDefault="00F55D06">
            <w:pPr>
              <w:spacing w:after="40"/>
            </w:pPr>
          </w:p>
          <w:p w14:paraId="743E1394" w14:textId="77777777" w:rsidR="00F55D06" w:rsidRDefault="00000000">
            <w:pPr>
              <w:spacing w:after="40"/>
            </w:pPr>
            <w:r>
              <w:rPr>
                <w:sz w:val="20"/>
              </w:rPr>
              <w:t>Expandindo:</w:t>
            </w:r>
          </w:p>
          <w:p w14:paraId="0C821AE4" w14:textId="69E47FA5" w:rsidR="00F55D06" w:rsidRDefault="00B27DEA">
            <w:pPr>
              <w:spacing w:after="40"/>
            </w:pPr>
            <m:oMathPara>
              <m:oMath>
                <m:r>
                  <w:rPr>
                    <w:rFonts w:ascii="Cambria Math" w:hAnsi="Cambria Math"/>
                  </w:rPr>
                  <m:t>PT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DB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-DC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máx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ΔQ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OUT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×máx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,0</m:t>
                        </m:r>
                      </m:e>
                    </m:d>
                  </m:e>
                </m:d>
              </m:oMath>
            </m:oMathPara>
          </w:p>
          <w:p w14:paraId="764E55B2" w14:textId="77777777" w:rsidR="00F55D06" w:rsidRDefault="00F55D06">
            <w:pPr>
              <w:spacing w:after="40"/>
            </w:pPr>
          </w:p>
          <w:p w14:paraId="363A88B2" w14:textId="77777777" w:rsidR="00F55D06" w:rsidRDefault="00000000">
            <w:pPr>
              <w:spacing w:after="40"/>
            </w:pPr>
            <w:r>
              <w:rPr>
                <w:sz w:val="20"/>
              </w:rPr>
              <w:t>A Perda Total combina:</w:t>
            </w:r>
          </w:p>
          <w:p w14:paraId="7E9AF864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(1) Perda líquida de VALOR exportado: DL(s)</w:t>
            </w:r>
          </w:p>
          <w:p w14:paraId="1A380B77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(2) Perda de receita por DIFERENCIAL DE PREÇO: EP(s)</w:t>
            </w:r>
          </w:p>
        </w:tc>
      </w:tr>
    </w:tbl>
    <w:p w14:paraId="2D3AC6A1" w14:textId="77777777" w:rsidR="00F55D06" w:rsidRDefault="00F55D06">
      <w:pPr>
        <w:spacing w:after="80"/>
      </w:pPr>
    </w:p>
    <w:p w14:paraId="42E2CDA7" w14:textId="77777777" w:rsidR="00F55D06" w:rsidRDefault="00000000">
      <w:pPr>
        <w:pStyle w:val="Ttulo2"/>
      </w:pPr>
      <w:r>
        <w:rPr>
          <w:color w:val="1F4E79"/>
          <w:sz w:val="24"/>
        </w:rPr>
        <w:t>3.7  Exemplo Passo a Passo: Madeira (CNAE 16)</w:t>
      </w:r>
    </w:p>
    <w:tbl>
      <w:tblPr>
        <w:tblW w:w="0" w:type="auto"/>
        <w:tblBorders>
          <w:top w:val="single" w:sz="8" w:space="0" w:color="C55A11"/>
          <w:left w:val="single" w:sz="8" w:space="0" w:color="C55A11"/>
          <w:bottom w:val="single" w:sz="8" w:space="0" w:color="C55A11"/>
          <w:right w:val="single" w:sz="8" w:space="0" w:color="C55A11"/>
          <w:insideH w:val="single" w:sz="8" w:space="0" w:color="C55A11"/>
          <w:insideV w:val="single" w:sz="8" w:space="0" w:color="C55A11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0043B9C1" w14:textId="77777777">
        <w:tc>
          <w:tcPr>
            <w:tcW w:w="9122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C55A11"/>
          </w:tcPr>
          <w:p w14:paraId="11F85E3B" w14:textId="77777777" w:rsidR="00F55D06" w:rsidRDefault="00000000">
            <w:r>
              <w:rPr>
                <w:b/>
                <w:color w:val="FFFFFF"/>
                <w:sz w:val="20"/>
              </w:rPr>
              <w:t>Exemplo completo — Madeira (CNAE 16)</w:t>
            </w:r>
          </w:p>
        </w:tc>
      </w:tr>
      <w:tr w:rsidR="00F55D06" w14:paraId="568E685C" w14:textId="77777777">
        <w:tc>
          <w:tcPr>
            <w:tcW w:w="9122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FFDE7"/>
          </w:tcPr>
          <w:p w14:paraId="4139DD0E" w14:textId="77777777" w:rsidR="00F55D06" w:rsidRDefault="00000000">
            <w:pPr>
              <w:spacing w:after="40"/>
            </w:pPr>
            <w:r>
              <w:rPr>
                <w:sz w:val="20"/>
              </w:rPr>
              <w:t>Dados observados (Jan–Mai 2025 vs. 2026):</w:t>
            </w:r>
          </w:p>
          <w:p w14:paraId="63E247EA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X(EUA, 16, 2025) = US$ 262,1 mi     X(EUA, 16, 2026) = US$ 143,9 mi</w:t>
            </w:r>
          </w:p>
          <w:p w14:paraId="7AEDBE76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X(OUT, 16, 2025) = US$ 277,4 mi     X(OUT, 16, 2026) = US$ 309,9 mi</w:t>
            </w:r>
          </w:p>
          <w:p w14:paraId="0DB0A8A3" w14:textId="77777777" w:rsidR="00F55D06" w:rsidRDefault="00000000">
            <w:pPr>
              <w:spacing w:after="40"/>
            </w:pPr>
            <w:r>
              <w:rPr>
                <w:sz w:val="20"/>
              </w:rPr>
              <w:lastRenderedPageBreak/>
              <w:t xml:space="preserve">  VU(EUA, 16, 2025) = 0,942 US$/kg    VU(OUT, 16, 2025) = 0,434 US$/kg</w:t>
            </w:r>
          </w:p>
          <w:p w14:paraId="4D421AC1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Q(OUT, 16, 2025) = 638,4 mil ton     Q(OUT, 16, 2026) = 712,0 mil ton</w:t>
            </w:r>
          </w:p>
          <w:p w14:paraId="7C093806" w14:textId="77777777" w:rsidR="00F55D06" w:rsidRDefault="00F55D06">
            <w:pPr>
              <w:spacing w:after="40"/>
            </w:pPr>
          </w:p>
          <w:p w14:paraId="08B73D30" w14:textId="77777777" w:rsidR="00F55D06" w:rsidRDefault="00000000">
            <w:pPr>
              <w:spacing w:after="40"/>
            </w:pPr>
            <w:r>
              <w:rPr>
                <w:sz w:val="20"/>
              </w:rPr>
              <w:t>Passo 1 — Destruição Bruta:</w:t>
            </w:r>
          </w:p>
          <w:p w14:paraId="78B3096A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DB(16) = 262,1 − 143,9 = US$ 118,1 mi</w:t>
            </w:r>
          </w:p>
          <w:p w14:paraId="077D2371" w14:textId="77777777" w:rsidR="00F55D06" w:rsidRDefault="00F55D06">
            <w:pPr>
              <w:spacing w:after="40"/>
            </w:pPr>
          </w:p>
          <w:p w14:paraId="66C56A4F" w14:textId="77777777" w:rsidR="00F55D06" w:rsidRDefault="00000000">
            <w:pPr>
              <w:spacing w:after="40"/>
            </w:pPr>
            <w:r>
              <w:rPr>
                <w:sz w:val="20"/>
              </w:rPr>
              <w:t>Passo 2 — Desvio de Comércio:</w:t>
            </w:r>
          </w:p>
          <w:p w14:paraId="3E8C44BF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DC(16) = máx(309,9 − 277,4 ; 0) = máx(32,5 ; 0) = US$ 32,5 mi</w:t>
            </w:r>
          </w:p>
          <w:p w14:paraId="26362A61" w14:textId="77777777" w:rsidR="00F55D06" w:rsidRDefault="00F55D06">
            <w:pPr>
              <w:spacing w:after="40"/>
            </w:pPr>
          </w:p>
          <w:p w14:paraId="0704A0A9" w14:textId="77777777" w:rsidR="00F55D06" w:rsidRDefault="00000000">
            <w:pPr>
              <w:spacing w:after="40"/>
            </w:pPr>
            <w:r>
              <w:rPr>
                <w:sz w:val="20"/>
              </w:rPr>
              <w:t>Passo 3 — Destruição Líquida:</w:t>
            </w:r>
          </w:p>
          <w:p w14:paraId="57942991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DL(16) = 118,1 − 32,5 = US$ 85,6 mi</w:t>
            </w:r>
          </w:p>
          <w:p w14:paraId="6A0B8607" w14:textId="77777777" w:rsidR="00F55D06" w:rsidRDefault="00F55D06">
            <w:pPr>
              <w:spacing w:after="40"/>
            </w:pPr>
          </w:p>
          <w:p w14:paraId="57219907" w14:textId="77777777" w:rsidR="00F55D06" w:rsidRDefault="00000000">
            <w:pPr>
              <w:spacing w:after="40"/>
            </w:pPr>
            <w:r>
              <w:rPr>
                <w:sz w:val="20"/>
              </w:rPr>
              <w:t>Passo 4 — Prêmio de Mercado EUA:</w:t>
            </w:r>
          </w:p>
          <w:p w14:paraId="3EF87D41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π(16) = 0,942 − 0,434 = 0,508 US$/kg  (+116,8% em relação ao preço nos demais mercados)</w:t>
            </w:r>
          </w:p>
          <w:p w14:paraId="5DEA0D0A" w14:textId="77777777" w:rsidR="00F55D06" w:rsidRDefault="00F55D06">
            <w:pPr>
              <w:spacing w:after="40"/>
            </w:pPr>
          </w:p>
          <w:p w14:paraId="77031E15" w14:textId="77777777" w:rsidR="00F55D06" w:rsidRDefault="00000000">
            <w:pPr>
              <w:spacing w:after="40"/>
            </w:pPr>
            <w:r>
              <w:rPr>
                <w:sz w:val="20"/>
              </w:rPr>
              <w:t>Passo 5 — Efeito-Preço:</w:t>
            </w:r>
          </w:p>
          <w:p w14:paraId="4DA60995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ΔQ(16) = 712,0 − 638,4 = +73,6 mil toneladas  [volume adicional desviado]</w:t>
            </w:r>
          </w:p>
          <w:p w14:paraId="75CA8001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EP(16) ≈ 73.600 × 0,508 ≈ US$ 30,1 mi</w:t>
            </w:r>
          </w:p>
          <w:p w14:paraId="749D8F43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(o valor exato resulta do cálculo por NCM, capturando variação de mix de produto)</w:t>
            </w:r>
          </w:p>
          <w:p w14:paraId="5B8DE291" w14:textId="77777777" w:rsidR="00F55D06" w:rsidRDefault="00F55D06">
            <w:pPr>
              <w:spacing w:after="40"/>
            </w:pPr>
          </w:p>
          <w:p w14:paraId="6D39BDCC" w14:textId="77777777" w:rsidR="00F55D06" w:rsidRDefault="00000000">
            <w:pPr>
              <w:spacing w:after="40"/>
            </w:pPr>
            <w:r>
              <w:rPr>
                <w:sz w:val="20"/>
              </w:rPr>
              <w:t>Passo 6 — Perda Total:</w:t>
            </w:r>
          </w:p>
          <w:p w14:paraId="5B33353E" w14:textId="77777777" w:rsidR="00F55D06" w:rsidRDefault="00000000">
            <w:pPr>
              <w:spacing w:after="40"/>
            </w:pPr>
            <w:r>
              <w:rPr>
                <w:b/>
                <w:color w:val="C00000"/>
              </w:rPr>
              <w:t xml:space="preserve">  PT(16) = 85,6 + 30,1 = US$ 115,7 milhões</w:t>
            </w:r>
          </w:p>
        </w:tc>
      </w:tr>
    </w:tbl>
    <w:p w14:paraId="30466D49" w14:textId="77777777" w:rsidR="00F55D06" w:rsidRDefault="00F55D06">
      <w:pPr>
        <w:spacing w:after="80"/>
      </w:pPr>
    </w:p>
    <w:p w14:paraId="18DB5786" w14:textId="77777777" w:rsidR="00F55D06" w:rsidRDefault="00000000">
      <w:pPr>
        <w:pStyle w:val="Ttulo1"/>
      </w:pPr>
      <w:r>
        <w:rPr>
          <w:color w:val="1F4E79"/>
        </w:rPr>
        <w:t>4. Metodologia 2 — Concentração de Mercado: Índice HHI</w:t>
      </w:r>
    </w:p>
    <w:p w14:paraId="31B96687" w14:textId="77777777" w:rsidR="00F55D06" w:rsidRDefault="00000000">
      <w:pPr>
        <w:pStyle w:val="Ttulo2"/>
      </w:pPr>
      <w:r>
        <w:rPr>
          <w:color w:val="1F4E79"/>
          <w:sz w:val="24"/>
        </w:rPr>
        <w:t>4.1  Origem e Intuição</w:t>
      </w:r>
    </w:p>
    <w:p w14:paraId="309F2162" w14:textId="77777777" w:rsidR="00F55D06" w:rsidRDefault="00000000">
      <w:pPr>
        <w:spacing w:after="80"/>
        <w:jc w:val="both"/>
      </w:pPr>
      <w:r>
        <w:t>O Índice Herfindahl-Hirschman (HHI) foi proposto independentemente por Orris Herfindahl (1950) e Albert Hirschman (1945) para medir concentração em estruturas de mercado. No comércio internacional, é amplamente usado para quantificar a diversificação geográfica das exportações: quanto mais distribuídas entre países, menor o HHI e menor a vulnerabilidade a choques em um único mercado.</w:t>
      </w:r>
    </w:p>
    <w:p w14:paraId="63D08C5C" w14:textId="77777777" w:rsidR="00F55D06" w:rsidRDefault="00000000">
      <w:pPr>
        <w:spacing w:after="80"/>
        <w:jc w:val="both"/>
      </w:pPr>
      <w:r>
        <w:t>A ideia central do HHI é simples: o índice soma o quadrado das participações percentuais de cada destino. Elevar ao quadrado PENALIZA DESPROPORCIONALMENTE destinos com participação elevada:</w:t>
      </w:r>
    </w:p>
    <w:p w14:paraId="52A58481" w14:textId="77777777" w:rsidR="00F55D06" w:rsidRDefault="00000000">
      <w:pPr>
        <w:pStyle w:val="Commarcadores"/>
        <w:spacing w:after="40"/>
      </w:pPr>
      <w:r>
        <w:rPr>
          <w:sz w:val="20"/>
        </w:rPr>
        <w:t>Um país com 40% do total contribui com  40² = 1.600 pontos.</w:t>
      </w:r>
    </w:p>
    <w:p w14:paraId="32D935F6" w14:textId="77777777" w:rsidR="00F55D06" w:rsidRDefault="00000000">
      <w:pPr>
        <w:pStyle w:val="Commarcadores"/>
        <w:spacing w:after="40"/>
      </w:pPr>
      <w:r>
        <w:rPr>
          <w:sz w:val="20"/>
        </w:rPr>
        <w:t>Quatro países com 10% cada contribuem juntos com apenas  4 × 10² = 400 pontos.</w:t>
      </w:r>
    </w:p>
    <w:p w14:paraId="51F7E3D3" w14:textId="77777777" w:rsidR="00F55D06" w:rsidRDefault="00000000">
      <w:pPr>
        <w:pStyle w:val="Commarcadores"/>
        <w:spacing w:after="40"/>
      </w:pPr>
      <w:r>
        <w:rPr>
          <w:sz w:val="20"/>
        </w:rPr>
        <w:t>Conclusão: reduzir a participação de um destino dominante é muito mais eficaz para baixar o HHI do que adicionar muitos destinos pequenos.</w:t>
      </w:r>
    </w:p>
    <w:p w14:paraId="2DEBFE1B" w14:textId="77777777" w:rsidR="00F55D06" w:rsidRDefault="00000000">
      <w:pPr>
        <w:pStyle w:val="Ttulo2"/>
      </w:pPr>
      <w:r>
        <w:rPr>
          <w:color w:val="1F4E79"/>
          <w:sz w:val="24"/>
        </w:rPr>
        <w:lastRenderedPageBreak/>
        <w:t>4.2  Formulação Matemática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3888457C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1800D3A" w14:textId="77777777" w:rsidR="00F55D06" w:rsidRDefault="00000000">
            <w:r>
              <w:rPr>
                <w:b/>
                <w:color w:val="FFFFFF"/>
                <w:sz w:val="20"/>
              </w:rPr>
              <w:t>Fórmula — Índice HHI</w:t>
            </w:r>
          </w:p>
        </w:tc>
      </w:tr>
      <w:tr w:rsidR="00F55D06" w14:paraId="60BC288D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5EDE7099" w14:textId="77777777" w:rsidR="00F55D06" w:rsidRDefault="00000000">
            <w:pPr>
              <w:spacing w:after="40"/>
            </w:pPr>
            <w:r>
              <w:rPr>
                <w:sz w:val="20"/>
              </w:rPr>
              <w:t>HHI(s, t) = Σᵢ  [ X(i, s, t) / X_TOT(s, t) × 100 ]²</w:t>
            </w:r>
          </w:p>
          <w:p w14:paraId="16929386" w14:textId="77777777" w:rsidR="00F55D06" w:rsidRDefault="00F55D06">
            <w:pPr>
              <w:spacing w:after="40"/>
            </w:pPr>
          </w:p>
          <w:p w14:paraId="10322B6A" w14:textId="77777777" w:rsidR="00F55D06" w:rsidRDefault="00000000">
            <w:pPr>
              <w:spacing w:after="40"/>
            </w:pPr>
            <w:r>
              <w:rPr>
                <w:sz w:val="20"/>
              </w:rPr>
              <w:t>onde:</w:t>
            </w:r>
          </w:p>
          <w:p w14:paraId="6FB829AB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i          = índice do país de destino (i = 1, 2, ..., N)</w:t>
            </w:r>
          </w:p>
          <w:p w14:paraId="07236CC0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X(i, s, t) = valor FOB exportado para o país i, setor s, em Jan–Mai do ano t</w:t>
            </w:r>
          </w:p>
          <w:p w14:paraId="750FBD51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X_TOT(s,t) = valor total exportado pelo setor s em Jan–Mai do ano t</w:t>
            </w:r>
          </w:p>
          <w:p w14:paraId="77DEB5C6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N(s, t)    = número de países destino com exportação positiva</w:t>
            </w:r>
          </w:p>
          <w:p w14:paraId="35F055C1" w14:textId="77777777" w:rsidR="00F55D06" w:rsidRDefault="00F55D06">
            <w:pPr>
              <w:spacing w:after="40"/>
            </w:pPr>
          </w:p>
          <w:p w14:paraId="6016AB72" w14:textId="77777777" w:rsidR="00F55D06" w:rsidRDefault="00000000">
            <w:pPr>
              <w:spacing w:after="40"/>
            </w:pPr>
            <w:r>
              <w:rPr>
                <w:sz w:val="20"/>
              </w:rPr>
              <w:t>O índice varia de 0 (distribuição perfeita) a 10.000 (exportação para um único país).</w:t>
            </w:r>
          </w:p>
        </w:tc>
      </w:tr>
    </w:tbl>
    <w:p w14:paraId="2D6C97E5" w14:textId="77777777" w:rsidR="00F55D06" w:rsidRDefault="00F55D06">
      <w:pPr>
        <w:spacing w:after="80"/>
      </w:pPr>
    </w:p>
    <w:p w14:paraId="3A0BEA88" w14:textId="77777777" w:rsidR="00F55D06" w:rsidRDefault="00000000">
      <w:pPr>
        <w:pStyle w:val="Ttulo2"/>
      </w:pPr>
      <w:r>
        <w:rPr>
          <w:color w:val="1F4E79"/>
          <w:sz w:val="24"/>
        </w:rPr>
        <w:t>4.3  Classificação de Concentração</w:t>
      </w:r>
    </w:p>
    <w:p w14:paraId="7631420A" w14:textId="77777777" w:rsidR="00F55D06" w:rsidRDefault="00000000">
      <w:pPr>
        <w:spacing w:after="80"/>
        <w:jc w:val="both"/>
      </w:pPr>
      <w:r>
        <w:t>A classificação adotada segue os critérios do Departamento de Justiça dos EUA (DOJ) e da Federal Trade Commission (FTC), adaptados ao contexto de exportações: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701"/>
        <w:gridCol w:w="1984"/>
        <w:gridCol w:w="5103"/>
      </w:tblGrid>
      <w:tr w:rsidR="00F55D06" w14:paraId="224E53AE" w14:textId="77777777">
        <w:tc>
          <w:tcPr>
            <w:tcW w:w="170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ABF6348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HHI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B509F7D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Classificação</w:t>
            </w:r>
          </w:p>
        </w:tc>
        <w:tc>
          <w:tcPr>
            <w:tcW w:w="510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F03728C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Interpretação para exportações</w:t>
            </w:r>
          </w:p>
        </w:tc>
      </w:tr>
      <w:tr w:rsidR="00F55D06" w14:paraId="553B1327" w14:textId="77777777">
        <w:tc>
          <w:tcPr>
            <w:tcW w:w="170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1ED067D" w14:textId="77777777" w:rsidR="00F55D06" w:rsidRDefault="00000000">
            <w:r>
              <w:rPr>
                <w:sz w:val="18"/>
              </w:rPr>
              <w:t>≥ 2.500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6D1EBFCD" w14:textId="77777777" w:rsidR="00F55D06" w:rsidRDefault="00000000">
            <w:pPr>
              <w:jc w:val="center"/>
            </w:pPr>
            <w:r>
              <w:rPr>
                <w:sz w:val="18"/>
              </w:rPr>
              <w:t>Alta concentração</w:t>
            </w:r>
          </w:p>
        </w:tc>
        <w:tc>
          <w:tcPr>
            <w:tcW w:w="510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FB105DF" w14:textId="77777777" w:rsidR="00F55D06" w:rsidRDefault="00000000">
            <w:pPr>
              <w:jc w:val="center"/>
            </w:pPr>
            <w:r>
              <w:rPr>
                <w:sz w:val="18"/>
              </w:rPr>
              <w:t>Alta dependência; risco elevado de choque em destino principal</w:t>
            </w:r>
          </w:p>
        </w:tc>
      </w:tr>
      <w:tr w:rsidR="00F55D06" w14:paraId="24FD9264" w14:textId="77777777">
        <w:tc>
          <w:tcPr>
            <w:tcW w:w="170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565AA286" w14:textId="77777777" w:rsidR="00F55D06" w:rsidRDefault="00000000">
            <w:r>
              <w:rPr>
                <w:sz w:val="18"/>
              </w:rPr>
              <w:t>1.500 – 2.499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E19C2F9" w14:textId="77777777" w:rsidR="00F55D06" w:rsidRDefault="00000000">
            <w:pPr>
              <w:jc w:val="center"/>
            </w:pPr>
            <w:r>
              <w:rPr>
                <w:sz w:val="18"/>
              </w:rPr>
              <w:t>Concentração moderada</w:t>
            </w:r>
          </w:p>
        </w:tc>
        <w:tc>
          <w:tcPr>
            <w:tcW w:w="510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D59B18E" w14:textId="77777777" w:rsidR="00F55D06" w:rsidRDefault="00000000">
            <w:pPr>
              <w:jc w:val="center"/>
            </w:pPr>
            <w:r>
              <w:rPr>
                <w:sz w:val="18"/>
              </w:rPr>
              <w:t>Vulnerabilidade relevante a destino dominante</w:t>
            </w:r>
          </w:p>
        </w:tc>
      </w:tr>
      <w:tr w:rsidR="00F55D06" w14:paraId="77A97201" w14:textId="77777777">
        <w:tc>
          <w:tcPr>
            <w:tcW w:w="170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EE5DF45" w14:textId="77777777" w:rsidR="00F55D06" w:rsidRDefault="00000000">
            <w:r>
              <w:rPr>
                <w:sz w:val="18"/>
              </w:rPr>
              <w:t>1.000 – 1.499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3B324D8" w14:textId="77777777" w:rsidR="00F55D06" w:rsidRDefault="00000000">
            <w:pPr>
              <w:jc w:val="center"/>
            </w:pPr>
            <w:r>
              <w:rPr>
                <w:sz w:val="18"/>
              </w:rPr>
              <w:t>Baixa concentração</w:t>
            </w:r>
          </w:p>
        </w:tc>
        <w:tc>
          <w:tcPr>
            <w:tcW w:w="510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A9956F3" w14:textId="77777777" w:rsidR="00F55D06" w:rsidRDefault="00000000">
            <w:pPr>
              <w:jc w:val="center"/>
            </w:pPr>
            <w:r>
              <w:rPr>
                <w:sz w:val="18"/>
              </w:rPr>
              <w:t>Pauta diversificada com alguma exposição residual</w:t>
            </w:r>
          </w:p>
        </w:tc>
      </w:tr>
      <w:tr w:rsidR="00F55D06" w14:paraId="050324E6" w14:textId="77777777">
        <w:tc>
          <w:tcPr>
            <w:tcW w:w="170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A878660" w14:textId="77777777" w:rsidR="00F55D06" w:rsidRDefault="00000000">
            <w:r>
              <w:rPr>
                <w:sz w:val="18"/>
              </w:rPr>
              <w:t>&lt; 1.000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7C3AEE02" w14:textId="77777777" w:rsidR="00F55D06" w:rsidRDefault="00000000">
            <w:pPr>
              <w:jc w:val="center"/>
            </w:pPr>
            <w:r>
              <w:rPr>
                <w:sz w:val="18"/>
              </w:rPr>
              <w:t>Diversificado</w:t>
            </w:r>
          </w:p>
        </w:tc>
        <w:tc>
          <w:tcPr>
            <w:tcW w:w="510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7BC9BA75" w14:textId="77777777" w:rsidR="00F55D06" w:rsidRDefault="00000000">
            <w:pPr>
              <w:jc w:val="center"/>
            </w:pPr>
            <w:r>
              <w:rPr>
                <w:sz w:val="18"/>
              </w:rPr>
              <w:t>Alta dispersão geográfica; baixa vulnerabilidade</w:t>
            </w:r>
          </w:p>
        </w:tc>
      </w:tr>
    </w:tbl>
    <w:p w14:paraId="64AB51E9" w14:textId="77777777" w:rsidR="00F55D06" w:rsidRDefault="00F55D06">
      <w:pPr>
        <w:spacing w:after="80"/>
      </w:pPr>
    </w:p>
    <w:p w14:paraId="1B7246FE" w14:textId="77777777" w:rsidR="00F55D06" w:rsidRDefault="00000000">
      <w:pPr>
        <w:pStyle w:val="Ttulo2"/>
      </w:pPr>
      <w:r>
        <w:rPr>
          <w:color w:val="1F4E79"/>
          <w:sz w:val="24"/>
        </w:rPr>
        <w:t>4.4  Contribuição Individual ao HHI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297AA9DB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A1A2E9B" w14:textId="77777777" w:rsidR="00F55D06" w:rsidRDefault="00000000">
            <w:r>
              <w:rPr>
                <w:b/>
                <w:color w:val="FFFFFF"/>
                <w:sz w:val="20"/>
              </w:rPr>
              <w:t>Contribuição individual de cada país ao HHI</w:t>
            </w:r>
          </w:p>
        </w:tc>
      </w:tr>
      <w:tr w:rsidR="00F55D06" w14:paraId="609314C2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61D2FD37" w14:textId="77777777" w:rsidR="00F55D06" w:rsidRDefault="00000000">
            <w:pPr>
              <w:spacing w:after="40"/>
            </w:pPr>
            <w:r>
              <w:rPr>
                <w:sz w:val="20"/>
              </w:rPr>
              <w:t>h(i, s, t) = [ X(i, s, t) / X_TOT(s, t) × 100 ]²</w:t>
            </w:r>
          </w:p>
          <w:p w14:paraId="76490BD5" w14:textId="77777777" w:rsidR="00F55D06" w:rsidRDefault="00F55D06">
            <w:pPr>
              <w:spacing w:after="40"/>
            </w:pPr>
          </w:p>
          <w:p w14:paraId="6B57D6F3" w14:textId="77777777" w:rsidR="00F55D06" w:rsidRDefault="00000000">
            <w:pPr>
              <w:spacing w:after="40"/>
            </w:pPr>
            <w:r>
              <w:rPr>
                <w:sz w:val="20"/>
              </w:rPr>
              <w:t>de modo que:   HHI(s, t) = Σᵢ  h(i, s, t)</w:t>
            </w:r>
          </w:p>
          <w:p w14:paraId="23DE09C3" w14:textId="77777777" w:rsidR="00F55D06" w:rsidRDefault="00F55D06">
            <w:pPr>
              <w:spacing w:after="40"/>
            </w:pPr>
          </w:p>
          <w:p w14:paraId="18293D75" w14:textId="77777777" w:rsidR="00F55D06" w:rsidRDefault="00000000">
            <w:pPr>
              <w:spacing w:after="40"/>
            </w:pPr>
            <w:r>
              <w:rPr>
                <w:sz w:val="20"/>
              </w:rPr>
              <w:t>Essa decomposição permite calcular exatamente quanto o HHI mudaria</w:t>
            </w:r>
          </w:p>
          <w:p w14:paraId="01276D27" w14:textId="77777777" w:rsidR="00F55D06" w:rsidRDefault="00000000">
            <w:pPr>
              <w:spacing w:after="40"/>
            </w:pPr>
            <w:r>
              <w:rPr>
                <w:sz w:val="20"/>
              </w:rPr>
              <w:t>se a participação de um determinado destino fosse alterada.</w:t>
            </w:r>
          </w:p>
        </w:tc>
      </w:tr>
    </w:tbl>
    <w:p w14:paraId="05903B09" w14:textId="77777777" w:rsidR="00F55D06" w:rsidRDefault="00F55D06">
      <w:pPr>
        <w:spacing w:after="80"/>
      </w:pPr>
    </w:p>
    <w:p w14:paraId="09357E12" w14:textId="77777777" w:rsidR="00F55D06" w:rsidRDefault="00000000">
      <w:pPr>
        <w:spacing w:after="80"/>
        <w:jc w:val="both"/>
      </w:pPr>
      <w:r>
        <w:t>Propriedade fundamental: a contribuição de um país ao HHI é proporcional ao quadrado da sua participação. Isso significa que a queda do share dos EUA de 39% para 25% produziu uma redução muito maior no índice do que o crescimento de Itália (+3 p.p.) ou Espanha (+2 p.p.) poderia ter aumentado.</w:t>
      </w:r>
    </w:p>
    <w:p w14:paraId="64323C0C" w14:textId="77777777" w:rsidR="00F55D06" w:rsidRDefault="00000000">
      <w:pPr>
        <w:pStyle w:val="Ttulo2"/>
      </w:pPr>
      <w:r>
        <w:rPr>
          <w:color w:val="1F4E79"/>
          <w:sz w:val="24"/>
        </w:rPr>
        <w:lastRenderedPageBreak/>
        <w:t>4.5  Exemplo Passo a Passo: Complexo Florestal SC</w:t>
      </w:r>
    </w:p>
    <w:tbl>
      <w:tblPr>
        <w:tblW w:w="0" w:type="auto"/>
        <w:tblBorders>
          <w:top w:val="single" w:sz="8" w:space="0" w:color="C55A11"/>
          <w:left w:val="single" w:sz="8" w:space="0" w:color="C55A11"/>
          <w:bottom w:val="single" w:sz="8" w:space="0" w:color="C55A11"/>
          <w:right w:val="single" w:sz="8" w:space="0" w:color="C55A11"/>
          <w:insideH w:val="single" w:sz="8" w:space="0" w:color="C55A11"/>
          <w:insideV w:val="single" w:sz="8" w:space="0" w:color="C55A11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2590949E" w14:textId="77777777">
        <w:tc>
          <w:tcPr>
            <w:tcW w:w="9122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C55A11"/>
          </w:tcPr>
          <w:p w14:paraId="76368B72" w14:textId="77777777" w:rsidR="00F55D06" w:rsidRDefault="00000000">
            <w:r>
              <w:rPr>
                <w:b/>
                <w:color w:val="FFFFFF"/>
                <w:sz w:val="20"/>
              </w:rPr>
              <w:t>Cálculo do HHI — Complexo Florestal SC, Jan-Mai 2025 vs. 2026</w:t>
            </w:r>
          </w:p>
        </w:tc>
      </w:tr>
      <w:tr w:rsidR="00F55D06" w14:paraId="411F7542" w14:textId="77777777">
        <w:tc>
          <w:tcPr>
            <w:tcW w:w="9122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FFDE7"/>
          </w:tcPr>
          <w:p w14:paraId="36A24325" w14:textId="77777777" w:rsidR="00F55D06" w:rsidRDefault="00000000">
            <w:pPr>
              <w:spacing w:after="40"/>
            </w:pPr>
            <w:r>
              <w:rPr>
                <w:sz w:val="20"/>
              </w:rPr>
              <w:t>Jan–Mai 2025  (total exportado: US$ 822,2 mi)</w:t>
            </w:r>
          </w:p>
          <w:p w14:paraId="09F6C2CE" w14:textId="77777777" w:rsidR="00F55D06" w:rsidRDefault="00F55D06">
            <w:pPr>
              <w:spacing w:after="40"/>
            </w:pPr>
          </w:p>
          <w:p w14:paraId="5A9BFC93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País              Valor (US$ mi)   Share (%)   Share²</w:t>
            </w:r>
          </w:p>
          <w:p w14:paraId="2D3585E5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Estados Unidos        322,2          39,18      1.535,1</w:t>
            </w:r>
          </w:p>
          <w:p w14:paraId="795E6AA5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Argentina              46,8           5,69         32,4</w:t>
            </w:r>
          </w:p>
          <w:p w14:paraId="362E2E95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México                 38,3           4,66         21,7</w:t>
            </w:r>
          </w:p>
          <w:p w14:paraId="24BDE0AC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Reino Unido            25,1           3,05          9,3</w:t>
            </w:r>
          </w:p>
          <w:p w14:paraId="2360F875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Alemanha               20,5           2,49          6,2</w:t>
            </w:r>
          </w:p>
          <w:p w14:paraId="5A286F67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Outros (N−5)          369,3          44,93       (vários)</w:t>
            </w:r>
          </w:p>
          <w:p w14:paraId="5C46A685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  <w:p w14:paraId="1D6F2FEF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HHI total                                       1.298</w:t>
            </w:r>
          </w:p>
          <w:p w14:paraId="4D8EA1B7" w14:textId="77777777" w:rsidR="00F55D06" w:rsidRDefault="00F55D06">
            <w:pPr>
              <w:spacing w:after="40"/>
            </w:pPr>
          </w:p>
          <w:p w14:paraId="73DEC4AA" w14:textId="77777777" w:rsidR="00F55D06" w:rsidRDefault="00000000">
            <w:pPr>
              <w:spacing w:after="40"/>
            </w:pPr>
            <w:r>
              <w:rPr>
                <w:sz w:val="20"/>
              </w:rPr>
              <w:t>Observação: os EUA contribuem com 1.535 pontos de um total de 1.298.</w:t>
            </w:r>
          </w:p>
          <w:p w14:paraId="442BB022" w14:textId="77777777" w:rsidR="00F55D06" w:rsidRDefault="00000000">
            <w:pPr>
              <w:spacing w:after="40"/>
            </w:pPr>
            <w:r>
              <w:rPr>
                <w:sz w:val="20"/>
              </w:rPr>
              <w:t>Isso reflete que os demais países, individualmente pequenos, têm</w:t>
            </w:r>
          </w:p>
          <w:p w14:paraId="5B10E44A" w14:textId="77777777" w:rsidR="00F55D06" w:rsidRDefault="00000000">
            <w:pPr>
              <w:spacing w:after="40"/>
            </w:pPr>
            <w:r>
              <w:rPr>
                <w:sz w:val="20"/>
              </w:rPr>
              <w:t>contribuições baixas — a concentração americana DOMINA o índice.</w:t>
            </w:r>
          </w:p>
          <w:p w14:paraId="3212BFDA" w14:textId="77777777" w:rsidR="00F55D06" w:rsidRDefault="00F55D06">
            <w:pPr>
              <w:spacing w:after="40"/>
            </w:pPr>
          </w:p>
          <w:p w14:paraId="1456E74A" w14:textId="77777777" w:rsidR="00F55D06" w:rsidRDefault="00000000">
            <w:pPr>
              <w:spacing w:after="40"/>
            </w:pPr>
            <w:r>
              <w:rPr>
                <w:sz w:val="20"/>
              </w:rPr>
              <w:t>─────────────────────────────────────────────────────────────────────</w:t>
            </w:r>
          </w:p>
          <w:p w14:paraId="64F3B43C" w14:textId="77777777" w:rsidR="00F55D06" w:rsidRDefault="00F55D06">
            <w:pPr>
              <w:spacing w:after="40"/>
            </w:pPr>
          </w:p>
          <w:p w14:paraId="74563E08" w14:textId="77777777" w:rsidR="00F55D06" w:rsidRDefault="00000000">
            <w:pPr>
              <w:spacing w:after="40"/>
            </w:pPr>
            <w:r>
              <w:rPr>
                <w:sz w:val="20"/>
              </w:rPr>
              <w:t>Jan–Mai 2026  (total exportado: US$ 703,7 mi)</w:t>
            </w:r>
          </w:p>
          <w:p w14:paraId="2B96A9C0" w14:textId="77777777" w:rsidR="00F55D06" w:rsidRDefault="00F55D06">
            <w:pPr>
              <w:spacing w:after="40"/>
            </w:pPr>
          </w:p>
          <w:p w14:paraId="4DFAF381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País              Valor (US$ mi)   Share (%)   Share²</w:t>
            </w:r>
          </w:p>
          <w:p w14:paraId="2F5C8404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Estados Unidos        174,4          24,79        614,5</w:t>
            </w:r>
          </w:p>
          <w:p w14:paraId="0B41535D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México                 53,6           7,62         58,1</w:t>
            </w:r>
          </w:p>
          <w:p w14:paraId="6427DC51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Argentina              44,8           6,37         40,6</w:t>
            </w:r>
          </w:p>
          <w:p w14:paraId="683BFED8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Itália                 37,0           5,26         27,7</w:t>
            </w:r>
          </w:p>
          <w:p w14:paraId="60AC8221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Espanha                27,4           3,89         15,1</w:t>
            </w:r>
          </w:p>
          <w:p w14:paraId="550907C6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Outros                366,5          52,07       (vários)</w:t>
            </w:r>
          </w:p>
          <w:p w14:paraId="567C2453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─────────────────────────────────────────────────────────</w:t>
            </w:r>
          </w:p>
          <w:p w14:paraId="738A657B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HHI total                                          840</w:t>
            </w:r>
          </w:p>
          <w:p w14:paraId="1F641E04" w14:textId="77777777" w:rsidR="00F55D06" w:rsidRDefault="00F55D06">
            <w:pPr>
              <w:spacing w:after="40"/>
            </w:pPr>
          </w:p>
          <w:p w14:paraId="5EE03C85" w14:textId="77777777" w:rsidR="00F55D06" w:rsidRDefault="00000000">
            <w:pPr>
              <w:spacing w:after="40"/>
            </w:pPr>
            <w:r>
              <w:rPr>
                <w:sz w:val="20"/>
              </w:rPr>
              <w:t>O que explicou a queda?</w:t>
            </w:r>
          </w:p>
          <w:p w14:paraId="5B7E9594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h(EUA, 2025) = 39,18² = 1.535,1  →  h(EUA, 2026) = 24,79² = 614,5</w:t>
            </w:r>
          </w:p>
          <w:p w14:paraId="223D31BF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Variação da contribuição EUA: −920,6 pontos</w:t>
            </w:r>
          </w:p>
          <w:p w14:paraId="20AA4434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Variação total do HHI: −458 pontos</w:t>
            </w:r>
          </w:p>
          <w:p w14:paraId="3F07543C" w14:textId="77777777" w:rsidR="00F55D06" w:rsidRDefault="00F55D06">
            <w:pPr>
              <w:spacing w:after="40"/>
            </w:pPr>
          </w:p>
          <w:p w14:paraId="1737575E" w14:textId="77777777" w:rsidR="00F55D06" w:rsidRDefault="00000000">
            <w:pPr>
              <w:spacing w:after="40"/>
            </w:pPr>
            <w:r>
              <w:rPr>
                <w:b/>
                <w:color w:val="C00000"/>
                <w:sz w:val="20"/>
              </w:rPr>
              <w:t xml:space="preserve">  ≈ 90% da redução do HHI veio exclusivamente da queda do share americano.</w:t>
            </w:r>
          </w:p>
        </w:tc>
      </w:tr>
    </w:tbl>
    <w:p w14:paraId="6EE24315" w14:textId="77777777" w:rsidR="00F55D06" w:rsidRDefault="00F55D06">
      <w:pPr>
        <w:spacing w:after="80"/>
      </w:pPr>
    </w:p>
    <w:p w14:paraId="79348239" w14:textId="77777777" w:rsidR="00F55D06" w:rsidRDefault="00000000">
      <w:pPr>
        <w:pStyle w:val="Ttulo2"/>
      </w:pPr>
      <w:r>
        <w:rPr>
          <w:color w:val="1F4E79"/>
          <w:sz w:val="24"/>
        </w:rPr>
        <w:lastRenderedPageBreak/>
        <w:t>4.6  Propriedades Importantes do HHI</w:t>
      </w:r>
    </w:p>
    <w:p w14:paraId="6E74BFD0" w14:textId="77777777" w:rsidR="00F55D06" w:rsidRDefault="00000000">
      <w:pPr>
        <w:pStyle w:val="Commarcadores"/>
        <w:spacing w:after="40"/>
      </w:pPr>
      <w:r>
        <w:rPr>
          <w:sz w:val="20"/>
        </w:rPr>
        <w:t>Sensibilidade à dominância: o índice reage muito mais à redução de um destino grande do que ao crescimento de muitos destinos pequenos.</w:t>
      </w:r>
    </w:p>
    <w:p w14:paraId="0FEF7930" w14:textId="77777777" w:rsidR="00F55D06" w:rsidRDefault="00000000">
      <w:pPr>
        <w:pStyle w:val="Commarcadores"/>
        <w:spacing w:after="40"/>
      </w:pPr>
      <w:r>
        <w:rPr>
          <w:sz w:val="20"/>
        </w:rPr>
        <w:t>Independência do total exportado: o HHI mede concentração nas participações, não nos valores absolutos. Um setor pode exportar menos e ter HHI menor.</w:t>
      </w:r>
    </w:p>
    <w:p w14:paraId="7108EC31" w14:textId="77777777" w:rsidR="00F55D06" w:rsidRDefault="00000000">
      <w:pPr>
        <w:pStyle w:val="Commarcadores"/>
        <w:spacing w:after="40"/>
      </w:pPr>
      <w:r>
        <w:rPr>
          <w:sz w:val="20"/>
        </w:rPr>
        <w:t>Comparabilidade entre setores: como usa participações percentuais, permite comparar setores de tamanhos muito diferentes.</w:t>
      </w:r>
    </w:p>
    <w:p w14:paraId="7E5A181F" w14:textId="77777777" w:rsidR="00F55D06" w:rsidRDefault="00000000">
      <w:pPr>
        <w:pStyle w:val="Commarcadores"/>
        <w:spacing w:after="40"/>
      </w:pPr>
      <w:r>
        <w:rPr>
          <w:sz w:val="20"/>
        </w:rPr>
        <w:t>Limitação — qualidade dos destinos: um HHI baixo pode refletir diversificação para mercados com baixo poder de compra ou alta instabilidade política.</w:t>
      </w:r>
    </w:p>
    <w:p w14:paraId="615C5512" w14:textId="77777777" w:rsidR="00F55D06" w:rsidRDefault="00000000">
      <w:pPr>
        <w:pStyle w:val="Ttulo1"/>
      </w:pPr>
      <w:r>
        <w:rPr>
          <w:color w:val="1F4E79"/>
        </w:rPr>
        <w:t>5. Metodologia 3 — Estimativa de Receita Foregone: Análise Contrafactual</w:t>
      </w:r>
    </w:p>
    <w:p w14:paraId="2E387E77" w14:textId="77777777" w:rsidR="00F55D06" w:rsidRDefault="00000000">
      <w:pPr>
        <w:pStyle w:val="Ttulo2"/>
      </w:pPr>
      <w:r>
        <w:rPr>
          <w:color w:val="1F4E79"/>
          <w:sz w:val="24"/>
        </w:rPr>
        <w:t>5.1  O que é uma Análise Contrafactual?</w:t>
      </w:r>
    </w:p>
    <w:p w14:paraId="4858566C" w14:textId="77777777" w:rsidR="00F55D06" w:rsidRDefault="00000000">
      <w:pPr>
        <w:spacing w:after="80"/>
        <w:jc w:val="both"/>
      </w:pPr>
      <w:r>
        <w:t>Uma análise contrafactual responde à pergunta: 'o que teria acontecido se as tarifas não tivessem sido impostas?' Para isso, constrói-se um cenário hipotético — o contrafactual — com base no comportamento histórico do setor ANTES do choque tarifário. A diferença entre o cenário contrafactual (sem tarifas) e o observado (com tarifas) é a Receita Foregone (RF) — a receita que o setor TERIA GERADO caso o choque não tivesse ocorrido.</w:t>
      </w:r>
    </w:p>
    <w:tbl>
      <w:tblPr>
        <w:tblW w:w="0" w:type="auto"/>
        <w:tblBorders>
          <w:top w:val="single" w:sz="8" w:space="0" w:color="375623"/>
          <w:left w:val="single" w:sz="8" w:space="0" w:color="375623"/>
          <w:bottom w:val="single" w:sz="8" w:space="0" w:color="375623"/>
          <w:right w:val="single" w:sz="8" w:space="0" w:color="375623"/>
          <w:insideH w:val="single" w:sz="8" w:space="0" w:color="375623"/>
          <w:insideV w:val="single" w:sz="8" w:space="0" w:color="375623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75A594B9" w14:textId="77777777">
        <w:tc>
          <w:tcPr>
            <w:tcW w:w="9122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375623"/>
          </w:tcPr>
          <w:p w14:paraId="7FF85A1A" w14:textId="77777777" w:rsidR="00F55D06" w:rsidRDefault="00000000">
            <w:r>
              <w:rPr>
                <w:b/>
                <w:color w:val="FFFFFF"/>
                <w:sz w:val="20"/>
              </w:rPr>
              <w:t>✔  Como interpretar</w:t>
            </w:r>
          </w:p>
        </w:tc>
      </w:tr>
      <w:tr w:rsidR="00F55D06" w14:paraId="0F379902" w14:textId="77777777">
        <w:tc>
          <w:tcPr>
            <w:tcW w:w="9122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E8F5E9"/>
          </w:tcPr>
          <w:p w14:paraId="6C477205" w14:textId="77777777" w:rsidR="00F55D06" w:rsidRDefault="00000000">
            <w:pPr>
              <w:spacing w:after="40"/>
            </w:pPr>
            <w:r>
              <w:rPr>
                <w:sz w:val="20"/>
              </w:rPr>
              <w:t>Receita Foregone ≠ Destruição Líquida:</w:t>
            </w:r>
          </w:p>
          <w:p w14:paraId="0BEE0A8D" w14:textId="77777777" w:rsidR="00F55D06" w:rsidRDefault="00F55D06">
            <w:pPr>
              <w:spacing w:after="40"/>
            </w:pPr>
          </w:p>
          <w:p w14:paraId="461789E1" w14:textId="77777777" w:rsidR="00F55D06" w:rsidRDefault="00000000">
            <w:pPr>
              <w:spacing w:after="40"/>
            </w:pPr>
            <w:r>
              <w:rPr>
                <w:sz w:val="20"/>
              </w:rPr>
              <w:t>• DL(s) compara o TOTAL EXPORTADO nos dois períodos — mede o que de fato foi perdido em valor total.</w:t>
            </w:r>
          </w:p>
          <w:p w14:paraId="10116198" w14:textId="77777777" w:rsidR="00F55D06" w:rsidRDefault="00F55D06">
            <w:pPr>
              <w:spacing w:after="40"/>
            </w:pPr>
          </w:p>
          <w:p w14:paraId="05D9CA6E" w14:textId="77777777" w:rsidR="00F55D06" w:rsidRDefault="00000000">
            <w:pPr>
              <w:spacing w:after="40"/>
            </w:pPr>
            <w:r>
              <w:rPr>
                <w:sz w:val="20"/>
              </w:rPr>
              <w:t>• RF(s,k) estima o que TERIA SIDO EXPORTADO AOS EUA se a relação comercial fosse a do período k — mede a perda no canal americano, mesmo que o total tenha crescido. A RF captura perda de participação no mercado americano mesmo em setores cuja exportação total aumentou (ex.: Papel e Celulose).</w:t>
            </w:r>
          </w:p>
        </w:tc>
      </w:tr>
    </w:tbl>
    <w:p w14:paraId="62F59A4C" w14:textId="77777777" w:rsidR="00F55D06" w:rsidRDefault="00F55D06">
      <w:pPr>
        <w:spacing w:after="80"/>
      </w:pPr>
    </w:p>
    <w:p w14:paraId="032D34C6" w14:textId="77777777" w:rsidR="00F55D06" w:rsidRDefault="00000000">
      <w:pPr>
        <w:pStyle w:val="Ttulo2"/>
      </w:pPr>
      <w:r>
        <w:rPr>
          <w:color w:val="1F4E79"/>
          <w:sz w:val="24"/>
        </w:rPr>
        <w:t>5.2  Formulação em Duas Etapas</w:t>
      </w: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6BAB1367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784E3744" w14:textId="77777777" w:rsidR="00F55D06" w:rsidRDefault="00000000">
            <w:r>
              <w:rPr>
                <w:b/>
                <w:color w:val="FFFFFF"/>
                <w:sz w:val="20"/>
              </w:rPr>
              <w:t>Etapa 1 — Share de referência EUA</w:t>
            </w:r>
          </w:p>
        </w:tc>
      </w:tr>
      <w:tr w:rsidR="00F55D06" w14:paraId="00F1F23D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1D145653" w14:textId="77777777" w:rsidR="00F55D06" w:rsidRDefault="00000000">
            <w:pPr>
              <w:spacing w:after="40"/>
            </w:pPr>
            <w:r>
              <w:rPr>
                <w:sz w:val="20"/>
              </w:rPr>
              <w:t>sh_EUA(s, k) = X(EUA, s, k) / X_TOT(s, k)</w:t>
            </w:r>
          </w:p>
          <w:p w14:paraId="30406407" w14:textId="77777777" w:rsidR="00F55D06" w:rsidRDefault="00F55D06">
            <w:pPr>
              <w:spacing w:after="40"/>
            </w:pPr>
          </w:p>
          <w:p w14:paraId="314A2B06" w14:textId="77777777" w:rsidR="00F55D06" w:rsidRDefault="00000000">
            <w:pPr>
              <w:spacing w:after="40"/>
            </w:pPr>
            <w:r>
              <w:rPr>
                <w:sz w:val="20"/>
              </w:rPr>
              <w:t>onde k é o período de referência histórico (antes do choque).</w:t>
            </w:r>
          </w:p>
          <w:p w14:paraId="05614DCA" w14:textId="77777777" w:rsidR="00F55D06" w:rsidRDefault="00000000">
            <w:pPr>
              <w:spacing w:after="40"/>
            </w:pPr>
            <w:r>
              <w:rPr>
                <w:sz w:val="20"/>
              </w:rPr>
              <w:t>Esse share representa a proporção 'normal' das exportações destinadas aos EUA.</w:t>
            </w:r>
          </w:p>
        </w:tc>
      </w:tr>
    </w:tbl>
    <w:p w14:paraId="5CE6B5F2" w14:textId="77777777" w:rsidR="00F55D06" w:rsidRDefault="00F55D06">
      <w:pPr>
        <w:spacing w:after="80"/>
      </w:pPr>
    </w:p>
    <w:tbl>
      <w:tblPr>
        <w:tblW w:w="0" w:type="auto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18AC7161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19DEF011" w14:textId="77777777" w:rsidR="00F55D06" w:rsidRDefault="00000000">
            <w:r>
              <w:rPr>
                <w:b/>
                <w:color w:val="FFFFFF"/>
                <w:sz w:val="20"/>
              </w:rPr>
              <w:t>Etapa 2 — Exportações contrafactuais e Receita Foregone</w:t>
            </w:r>
          </w:p>
        </w:tc>
      </w:tr>
      <w:tr w:rsidR="00F55D06" w14:paraId="31BA612C" w14:textId="77777777">
        <w:tc>
          <w:tcPr>
            <w:tcW w:w="912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EEAF1"/>
          </w:tcPr>
          <w:p w14:paraId="2A86485E" w14:textId="77777777" w:rsidR="00F55D06" w:rsidRDefault="00000000">
            <w:pPr>
              <w:spacing w:after="40"/>
            </w:pPr>
            <w:r>
              <w:rPr>
                <w:sz w:val="20"/>
              </w:rPr>
              <w:t>X̂_EUA(s, k) = X_TOT(s, 2026) × sh_EUA(s, k)</w:t>
            </w:r>
          </w:p>
          <w:p w14:paraId="7C93057A" w14:textId="77777777" w:rsidR="00F55D06" w:rsidRDefault="00F55D06">
            <w:pPr>
              <w:spacing w:after="40"/>
            </w:pPr>
          </w:p>
          <w:p w14:paraId="2F461687" w14:textId="77777777" w:rsidR="00F55D06" w:rsidRDefault="00000000">
            <w:pPr>
              <w:spacing w:after="40"/>
            </w:pPr>
            <w:r>
              <w:rPr>
                <w:sz w:val="20"/>
              </w:rPr>
              <w:lastRenderedPageBreak/>
              <w:t>RF(s, k) = X̂_EUA(s, k) − X(EUA, s, 2026)</w:t>
            </w:r>
          </w:p>
          <w:p w14:paraId="2EDB009A" w14:textId="77777777" w:rsidR="00F55D06" w:rsidRDefault="00F55D06">
            <w:pPr>
              <w:spacing w:after="40"/>
            </w:pPr>
          </w:p>
          <w:p w14:paraId="22B2D955" w14:textId="77777777" w:rsidR="00F55D06" w:rsidRDefault="00000000">
            <w:pPr>
              <w:spacing w:after="40"/>
            </w:pPr>
            <w:r>
              <w:rPr>
                <w:sz w:val="20"/>
              </w:rPr>
              <w:t>Intuição: dado o total que o setor exportou em Jan–Mai 2026, quanto disso</w:t>
            </w:r>
          </w:p>
          <w:p w14:paraId="42484CFF" w14:textId="77777777" w:rsidR="00F55D06" w:rsidRDefault="00000000">
            <w:pPr>
              <w:spacing w:after="40"/>
            </w:pPr>
            <w:r>
              <w:rPr>
                <w:sz w:val="20"/>
              </w:rPr>
              <w:t>DEVERIA TER IDO para os EUA, se a relação comercial fosse a de antes?</w:t>
            </w:r>
          </w:p>
          <w:p w14:paraId="6ABEB889" w14:textId="77777777" w:rsidR="00F55D06" w:rsidRDefault="00000000">
            <w:pPr>
              <w:spacing w:after="40"/>
            </w:pPr>
            <w:r>
              <w:rPr>
                <w:sz w:val="20"/>
              </w:rPr>
              <w:t>A diferença entre esse valor esperado e o observado é a receita foregone.</w:t>
            </w:r>
          </w:p>
        </w:tc>
      </w:tr>
    </w:tbl>
    <w:p w14:paraId="562EA30F" w14:textId="77777777" w:rsidR="00F55D06" w:rsidRDefault="00F55D06">
      <w:pPr>
        <w:spacing w:after="80"/>
      </w:pPr>
    </w:p>
    <w:p w14:paraId="56325AA1" w14:textId="77777777" w:rsidR="00F55D06" w:rsidRDefault="00000000">
      <w:pPr>
        <w:pStyle w:val="Ttulo2"/>
      </w:pPr>
      <w:r>
        <w:rPr>
          <w:color w:val="1F4E79"/>
          <w:sz w:val="24"/>
        </w:rPr>
        <w:t>5.3  Os Três Cenários de Referência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984"/>
        <w:gridCol w:w="1984"/>
        <w:gridCol w:w="4819"/>
      </w:tblGrid>
      <w:tr w:rsidR="00F55D06" w14:paraId="6EA9BA2E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4CBA6B5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3C74DE2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Período k</w:t>
            </w:r>
          </w:p>
        </w:tc>
        <w:tc>
          <w:tcPr>
            <w:tcW w:w="481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003D907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Pergunta que responde</w:t>
            </w:r>
          </w:p>
        </w:tc>
      </w:tr>
      <w:tr w:rsidR="00F55D06" w14:paraId="030A23F9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0587259" w14:textId="77777777" w:rsidR="00F55D06" w:rsidRDefault="00000000">
            <w:r>
              <w:rPr>
                <w:sz w:val="18"/>
              </w:rPr>
              <w:t>A — Conservador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C2768B8" w14:textId="77777777" w:rsidR="00F55D06" w:rsidRDefault="00000000">
            <w:pPr>
              <w:jc w:val="center"/>
            </w:pPr>
            <w:r>
              <w:rPr>
                <w:sz w:val="18"/>
              </w:rPr>
              <w:t>Jan–Mai 2025</w:t>
            </w:r>
          </w:p>
        </w:tc>
        <w:tc>
          <w:tcPr>
            <w:tcW w:w="481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6EE93103" w14:textId="77777777" w:rsidR="00F55D06" w:rsidRDefault="00000000">
            <w:pPr>
              <w:jc w:val="center"/>
            </w:pPr>
            <w:r>
              <w:rPr>
                <w:sz w:val="18"/>
              </w:rPr>
              <w:t>Se nada mudasse em relação a Jan–Mai 2025, quanto iria aos EUA? (já embute antecipação às tarifas — tende a subestimar a perda)</w:t>
            </w:r>
          </w:p>
        </w:tc>
      </w:tr>
      <w:tr w:rsidR="00F55D06" w14:paraId="2FB1BFF3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712BFE1" w14:textId="77777777" w:rsidR="00F55D06" w:rsidRDefault="00000000">
            <w:r>
              <w:rPr>
                <w:sz w:val="18"/>
              </w:rPr>
              <w:t>B — Base (principal)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557EBF6" w14:textId="77777777" w:rsidR="00F55D06" w:rsidRDefault="00000000">
            <w:pPr>
              <w:jc w:val="center"/>
            </w:pPr>
            <w:r>
              <w:rPr>
                <w:sz w:val="18"/>
              </w:rPr>
              <w:t>2024 (ano completo)</w:t>
            </w:r>
          </w:p>
        </w:tc>
        <w:tc>
          <w:tcPr>
            <w:tcW w:w="481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7904294F" w14:textId="77777777" w:rsidR="00F55D06" w:rsidRDefault="00000000">
            <w:pPr>
              <w:jc w:val="center"/>
            </w:pPr>
            <w:r>
              <w:rPr>
                <w:sz w:val="18"/>
              </w:rPr>
              <w:t>Se a relação de 2024 — imediatamente anterior ao choque — fosse mantida, qual seria a perda? (cenário de referência principal, sem antecipação)</w:t>
            </w:r>
          </w:p>
        </w:tc>
      </w:tr>
      <w:tr w:rsidR="00F55D06" w14:paraId="14A2657E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11D97AE" w14:textId="77777777" w:rsidR="00F55D06" w:rsidRDefault="00000000">
            <w:r>
              <w:rPr>
                <w:sz w:val="18"/>
              </w:rPr>
              <w:t>C — Estrutural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750D635" w14:textId="77777777" w:rsidR="00F55D06" w:rsidRDefault="00000000">
            <w:pPr>
              <w:jc w:val="center"/>
            </w:pPr>
            <w:r>
              <w:rPr>
                <w:sz w:val="18"/>
              </w:rPr>
              <w:t>2023 (ano completo)</w:t>
            </w:r>
          </w:p>
        </w:tc>
        <w:tc>
          <w:tcPr>
            <w:tcW w:w="4819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336B3F3" w14:textId="77777777" w:rsidR="00F55D06" w:rsidRDefault="00000000">
            <w:pPr>
              <w:jc w:val="center"/>
            </w:pPr>
            <w:r>
              <w:rPr>
                <w:sz w:val="18"/>
              </w:rPr>
              <w:t>Se a dependência estrutural pré-Trump fosse a referência, qual a perda máxima? (captura relação histórica antes das tensões comerciais)</w:t>
            </w:r>
          </w:p>
        </w:tc>
      </w:tr>
    </w:tbl>
    <w:p w14:paraId="351C6220" w14:textId="77777777" w:rsidR="00F55D06" w:rsidRDefault="00F55D06">
      <w:pPr>
        <w:spacing w:after="80"/>
      </w:pPr>
    </w:p>
    <w:p w14:paraId="1CED26D1" w14:textId="77777777" w:rsidR="00F55D06" w:rsidRDefault="00000000">
      <w:pPr>
        <w:spacing w:after="80"/>
        <w:jc w:val="both"/>
      </w:pPr>
      <w:r>
        <w:t>A convergência entre Cenários B e C (US$ 114,4 vs. US$ 114,5 mi para o Complexo Florestal) é um sinal de ROBUSTEZ METODOLÓGICA: indica que a estrutura de dependência dos EUA era estável em 2023–2024, e que o intervalo estimado é confiável.</w:t>
      </w:r>
    </w:p>
    <w:p w14:paraId="50F6D473" w14:textId="77777777" w:rsidR="00F55D06" w:rsidRDefault="00000000">
      <w:pPr>
        <w:pStyle w:val="Ttulo2"/>
      </w:pPr>
      <w:r>
        <w:rPr>
          <w:color w:val="1F4E79"/>
          <w:sz w:val="24"/>
        </w:rPr>
        <w:t>5.4  Exemplo Passo a Passo: Complexo Florestal (Cenário B)</w:t>
      </w:r>
    </w:p>
    <w:tbl>
      <w:tblPr>
        <w:tblW w:w="0" w:type="auto"/>
        <w:tblBorders>
          <w:top w:val="single" w:sz="8" w:space="0" w:color="C55A11"/>
          <w:left w:val="single" w:sz="8" w:space="0" w:color="C55A11"/>
          <w:bottom w:val="single" w:sz="8" w:space="0" w:color="C55A11"/>
          <w:right w:val="single" w:sz="8" w:space="0" w:color="C55A11"/>
          <w:insideH w:val="single" w:sz="8" w:space="0" w:color="C55A11"/>
          <w:insideV w:val="single" w:sz="8" w:space="0" w:color="C55A11"/>
        </w:tblBorders>
        <w:tblLook w:val="04A0" w:firstRow="1" w:lastRow="0" w:firstColumn="1" w:lastColumn="0" w:noHBand="0" w:noVBand="1"/>
      </w:tblPr>
      <w:tblGrid>
        <w:gridCol w:w="9122"/>
      </w:tblGrid>
      <w:tr w:rsidR="00F55D06" w14:paraId="66665E36" w14:textId="77777777">
        <w:tc>
          <w:tcPr>
            <w:tcW w:w="9122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C55A11"/>
          </w:tcPr>
          <w:p w14:paraId="28412648" w14:textId="77777777" w:rsidR="00F55D06" w:rsidRDefault="00000000">
            <w:r>
              <w:rPr>
                <w:b/>
                <w:color w:val="FFFFFF"/>
                <w:sz w:val="20"/>
              </w:rPr>
              <w:t>Receita Foregone — Complexo Florestal, Cenário B (base 2024)</w:t>
            </w:r>
          </w:p>
        </w:tc>
      </w:tr>
      <w:tr w:rsidR="00F55D06" w14:paraId="308F93E0" w14:textId="77777777">
        <w:tc>
          <w:tcPr>
            <w:tcW w:w="9122" w:type="dxa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</w:tcBorders>
            <w:shd w:val="clear" w:color="auto" w:fill="FFFDE7"/>
          </w:tcPr>
          <w:p w14:paraId="00393774" w14:textId="77777777" w:rsidR="00F55D06" w:rsidRDefault="00000000">
            <w:pPr>
              <w:spacing w:after="40"/>
            </w:pPr>
            <w:r>
              <w:rPr>
                <w:sz w:val="20"/>
              </w:rPr>
              <w:t>Dados de entrada:</w:t>
            </w:r>
          </w:p>
          <w:p w14:paraId="2E111DF4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X(EUA, CF, 2024 ano)     = US$ 1.363,7 mi</w:t>
            </w:r>
          </w:p>
          <w:p w14:paraId="61B6F80D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X_TOT(CF, 2024 ano)      = US$ 3.321,4 mi</w:t>
            </w:r>
          </w:p>
          <w:p w14:paraId="4356EDDA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X(EUA, CF, 2026 jan-mai) = US$ 174,4 mi</w:t>
            </w:r>
          </w:p>
          <w:p w14:paraId="78EFA9F2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X_TOT(CF, 2026 jan-mai)  = US$ 703,7 mi</w:t>
            </w:r>
          </w:p>
          <w:p w14:paraId="1D579C62" w14:textId="77777777" w:rsidR="00F55D06" w:rsidRDefault="00F55D06">
            <w:pPr>
              <w:spacing w:after="40"/>
            </w:pPr>
          </w:p>
          <w:p w14:paraId="45170BA1" w14:textId="77777777" w:rsidR="00F55D06" w:rsidRDefault="00000000">
            <w:pPr>
              <w:spacing w:after="40"/>
            </w:pPr>
            <w:r>
              <w:rPr>
                <w:sz w:val="20"/>
              </w:rPr>
              <w:t>Passo 1 — Share de referência (2024):</w:t>
            </w:r>
          </w:p>
          <w:p w14:paraId="202609E4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sh_EUA(CF, B) = 1.363,7 / 3.321,4 = 41,04%</w:t>
            </w:r>
          </w:p>
          <w:p w14:paraId="6E56209B" w14:textId="77777777" w:rsidR="00F55D06" w:rsidRDefault="00F55D06">
            <w:pPr>
              <w:spacing w:after="40"/>
            </w:pPr>
          </w:p>
          <w:p w14:paraId="792DBDA9" w14:textId="77777777" w:rsidR="00F55D06" w:rsidRDefault="00000000">
            <w:pPr>
              <w:spacing w:after="40"/>
            </w:pPr>
            <w:r>
              <w:rPr>
                <w:sz w:val="20"/>
              </w:rPr>
              <w:t>Passo 2 — Exportações contrafactuais:</w:t>
            </w:r>
          </w:p>
          <w:p w14:paraId="6AD1F733" w14:textId="77777777" w:rsidR="00F55D06" w:rsidRDefault="00000000">
            <w:pPr>
              <w:spacing w:after="40"/>
            </w:pPr>
            <w:r>
              <w:rPr>
                <w:sz w:val="20"/>
              </w:rPr>
              <w:t xml:space="preserve">  X̂_EUA(CF, B) = 703,7 × 0,4104 = US$ 288,8 mi</w:t>
            </w:r>
          </w:p>
          <w:p w14:paraId="140554A5" w14:textId="77777777" w:rsidR="00F55D06" w:rsidRDefault="00F55D06">
            <w:pPr>
              <w:spacing w:after="40"/>
            </w:pPr>
          </w:p>
          <w:p w14:paraId="2B8CEDD2" w14:textId="77777777" w:rsidR="00F55D06" w:rsidRDefault="00000000">
            <w:pPr>
              <w:spacing w:after="40"/>
            </w:pPr>
            <w:r>
              <w:rPr>
                <w:sz w:val="20"/>
              </w:rPr>
              <w:t>Passo 3 — Receita Foregone:</w:t>
            </w:r>
          </w:p>
          <w:p w14:paraId="588C6DC0" w14:textId="77777777" w:rsidR="00F55D06" w:rsidRDefault="00000000">
            <w:pPr>
              <w:spacing w:after="40"/>
            </w:pPr>
            <w:r>
              <w:rPr>
                <w:b/>
                <w:color w:val="C00000"/>
              </w:rPr>
              <w:t xml:space="preserve">  RF(CF, B) = 288,8 − 174,4 = US$ 114,4 milhões</w:t>
            </w:r>
          </w:p>
          <w:p w14:paraId="1E5B3E23" w14:textId="77777777" w:rsidR="00F55D06" w:rsidRDefault="00F55D06">
            <w:pPr>
              <w:spacing w:after="40"/>
            </w:pPr>
          </w:p>
          <w:p w14:paraId="2D6B80F5" w14:textId="77777777" w:rsidR="00F55D06" w:rsidRDefault="00000000">
            <w:pPr>
              <w:spacing w:after="40"/>
            </w:pPr>
            <w:r>
              <w:rPr>
                <w:sz w:val="20"/>
              </w:rPr>
              <w:t>Interpretação: se o Complexo Florestal tivesse mantido em Jan–Mai 2026</w:t>
            </w:r>
          </w:p>
          <w:p w14:paraId="103F1258" w14:textId="77777777" w:rsidR="00F55D06" w:rsidRDefault="00000000">
            <w:pPr>
              <w:spacing w:after="40"/>
            </w:pPr>
            <w:r>
              <w:rPr>
                <w:sz w:val="20"/>
              </w:rPr>
              <w:t>o mesmo share dos EUA de 2024 (41,04%), teria exportado US$ 288,8 mi</w:t>
            </w:r>
          </w:p>
          <w:p w14:paraId="5EAF7D8D" w14:textId="77777777" w:rsidR="00F55D06" w:rsidRDefault="00000000">
            <w:pPr>
              <w:spacing w:after="40"/>
            </w:pPr>
            <w:r>
              <w:rPr>
                <w:sz w:val="20"/>
              </w:rPr>
              <w:t>para aquele mercado. Como exportou apenas US$ 174,4 mi, a receita</w:t>
            </w:r>
          </w:p>
          <w:p w14:paraId="0D708449" w14:textId="77777777" w:rsidR="00F55D06" w:rsidRDefault="00000000">
            <w:pPr>
              <w:spacing w:after="40"/>
            </w:pPr>
            <w:r>
              <w:rPr>
                <w:sz w:val="20"/>
              </w:rPr>
              <w:t>foregone é de US$ 114,4 mi — equivalente a 16,3% do total exportado.</w:t>
            </w:r>
          </w:p>
        </w:tc>
      </w:tr>
    </w:tbl>
    <w:p w14:paraId="0F28CA6D" w14:textId="77777777" w:rsidR="00F55D06" w:rsidRDefault="00F55D06">
      <w:pPr>
        <w:spacing w:after="80"/>
      </w:pPr>
    </w:p>
    <w:p w14:paraId="2AEA671B" w14:textId="77777777" w:rsidR="00F55D06" w:rsidRDefault="00000000">
      <w:pPr>
        <w:pStyle w:val="Ttulo1"/>
      </w:pPr>
      <w:r>
        <w:rPr>
          <w:color w:val="1F4E79"/>
        </w:rPr>
        <w:t>6. Resultados por CNAE — Jan-Mai 2025 vs. 2026</w:t>
      </w:r>
    </w:p>
    <w:p w14:paraId="7D82306D" w14:textId="77777777" w:rsidR="00F55D06" w:rsidRDefault="00000000">
      <w:pPr>
        <w:pStyle w:val="Ttulo2"/>
      </w:pPr>
      <w:r>
        <w:rPr>
          <w:color w:val="1F4E79"/>
          <w:sz w:val="24"/>
        </w:rPr>
        <w:t>6.1  Decomposição do Impacto Tarifário</w:t>
      </w:r>
    </w:p>
    <w:p w14:paraId="0688B997" w14:textId="77777777" w:rsidR="00F55D06" w:rsidRDefault="00000000">
      <w:pPr>
        <w:spacing w:after="40"/>
      </w:pPr>
      <w:r>
        <w:rPr>
          <w:b/>
          <w:i/>
          <w:color w:val="1F4E79"/>
          <w:sz w:val="20"/>
        </w:rPr>
        <w:t>Tabela 1 — Decomposição do impacto tarifário (US$ milhões)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  <w:gridCol w:w="1134"/>
        <w:gridCol w:w="1134"/>
      </w:tblGrid>
      <w:tr w:rsidR="00F55D06" w14:paraId="08B78FC3" w14:textId="77777777">
        <w:tc>
          <w:tcPr>
            <w:tcW w:w="283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6449039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Setor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F5DC7A7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DB (mi)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BC12F8D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DC (mi)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D4A24EB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DL (mi)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077060A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EP (mi)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12F9017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PT (mi)</w:t>
            </w:r>
          </w:p>
        </w:tc>
      </w:tr>
      <w:tr w:rsidR="00F55D06" w14:paraId="29094A46" w14:textId="77777777">
        <w:tc>
          <w:tcPr>
            <w:tcW w:w="283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512D14F" w14:textId="77777777" w:rsidR="00F55D06" w:rsidRDefault="00000000">
            <w:r>
              <w:rPr>
                <w:sz w:val="18"/>
              </w:rPr>
              <w:t>Madeira (CNAE 16)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DF47048" w14:textId="77777777" w:rsidR="00F55D06" w:rsidRDefault="00000000">
            <w:pPr>
              <w:jc w:val="center"/>
            </w:pPr>
            <w:r>
              <w:rPr>
                <w:sz w:val="18"/>
              </w:rPr>
              <w:t>118,1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658456EA" w14:textId="77777777" w:rsidR="00F55D06" w:rsidRDefault="00000000">
            <w:pPr>
              <w:jc w:val="center"/>
            </w:pPr>
            <w:r>
              <w:rPr>
                <w:sz w:val="18"/>
              </w:rPr>
              <w:t>32,5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1074A44" w14:textId="77777777" w:rsidR="00F55D06" w:rsidRDefault="00000000">
            <w:pPr>
              <w:jc w:val="center"/>
            </w:pPr>
            <w:r>
              <w:rPr>
                <w:sz w:val="18"/>
              </w:rPr>
              <w:t>85,6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FB8E4D3" w14:textId="77777777" w:rsidR="00F55D06" w:rsidRDefault="00000000">
            <w:pPr>
              <w:jc w:val="center"/>
            </w:pPr>
            <w:r>
              <w:rPr>
                <w:sz w:val="18"/>
              </w:rPr>
              <w:t>30,1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632F4F7D" w14:textId="77777777" w:rsidR="00F55D06" w:rsidRDefault="00000000">
            <w:pPr>
              <w:jc w:val="center"/>
            </w:pPr>
            <w:r>
              <w:rPr>
                <w:sz w:val="18"/>
              </w:rPr>
              <w:t>115,7</w:t>
            </w:r>
          </w:p>
        </w:tc>
      </w:tr>
      <w:tr w:rsidR="00F55D06" w14:paraId="5FA61794" w14:textId="77777777">
        <w:tc>
          <w:tcPr>
            <w:tcW w:w="283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4732D6E" w14:textId="77777777" w:rsidR="00F55D06" w:rsidRDefault="00000000">
            <w:r>
              <w:rPr>
                <w:sz w:val="18"/>
              </w:rPr>
              <w:t>Móveis (CNAE 31)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1A2B22C" w14:textId="77777777" w:rsidR="00F55D06" w:rsidRDefault="00000000">
            <w:pPr>
              <w:jc w:val="center"/>
            </w:pPr>
            <w:r>
              <w:rPr>
                <w:sz w:val="18"/>
              </w:rPr>
              <w:t>24,9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499A1A53" w14:textId="77777777" w:rsidR="00F55D06" w:rsidRDefault="00000000">
            <w:pPr>
              <w:jc w:val="center"/>
            </w:pPr>
            <w:r>
              <w:rPr>
                <w:sz w:val="18"/>
              </w:rPr>
              <w:t>0,0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7F0C1E9" w14:textId="77777777" w:rsidR="00F55D06" w:rsidRDefault="00000000">
            <w:pPr>
              <w:jc w:val="center"/>
            </w:pPr>
            <w:r>
              <w:rPr>
                <w:sz w:val="18"/>
              </w:rPr>
              <w:t>24,9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A4BE6BB" w14:textId="77777777" w:rsidR="00F55D06" w:rsidRDefault="00000000">
            <w:pPr>
              <w:jc w:val="center"/>
            </w:pPr>
            <w:r>
              <w:rPr>
                <w:sz w:val="18"/>
              </w:rPr>
              <w:t>0,0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CDF5AAB" w14:textId="77777777" w:rsidR="00F55D06" w:rsidRDefault="00000000">
            <w:pPr>
              <w:jc w:val="center"/>
            </w:pPr>
            <w:r>
              <w:rPr>
                <w:sz w:val="18"/>
              </w:rPr>
              <w:t>24,9</w:t>
            </w:r>
          </w:p>
        </w:tc>
      </w:tr>
      <w:tr w:rsidR="00F55D06" w14:paraId="0EFF25C1" w14:textId="77777777">
        <w:tc>
          <w:tcPr>
            <w:tcW w:w="283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1E37138" w14:textId="77777777" w:rsidR="00F55D06" w:rsidRDefault="00000000">
            <w:r>
              <w:rPr>
                <w:sz w:val="18"/>
              </w:rPr>
              <w:t>Papel e Celulose (CNAE 17)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D7B2CC4" w14:textId="77777777" w:rsidR="00F55D06" w:rsidRDefault="00000000">
            <w:pPr>
              <w:jc w:val="center"/>
            </w:pPr>
            <w:r>
              <w:rPr>
                <w:sz w:val="18"/>
              </w:rPr>
              <w:t>5,2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9711041" w14:textId="77777777" w:rsidR="00F55D06" w:rsidRDefault="00000000">
            <w:pPr>
              <w:jc w:val="center"/>
            </w:pPr>
            <w:r>
              <w:rPr>
                <w:sz w:val="18"/>
              </w:rPr>
              <w:t>10,8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11896F2C" w14:textId="77777777" w:rsidR="00F55D06" w:rsidRDefault="00000000">
            <w:pPr>
              <w:jc w:val="center"/>
            </w:pPr>
            <w:r>
              <w:rPr>
                <w:sz w:val="18"/>
              </w:rPr>
              <w:t>−5,6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607AB17E" w14:textId="77777777" w:rsidR="00F55D06" w:rsidRDefault="00000000">
            <w:pPr>
              <w:jc w:val="center"/>
            </w:pPr>
            <w:r>
              <w:rPr>
                <w:sz w:val="18"/>
              </w:rPr>
              <w:t>17,7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DF805B0" w14:textId="77777777" w:rsidR="00F55D06" w:rsidRDefault="00000000">
            <w:pPr>
              <w:jc w:val="center"/>
            </w:pPr>
            <w:r>
              <w:rPr>
                <w:sz w:val="18"/>
              </w:rPr>
              <w:t>12,2</w:t>
            </w:r>
          </w:p>
        </w:tc>
      </w:tr>
      <w:tr w:rsidR="00F55D06" w14:paraId="205B7C6B" w14:textId="77777777">
        <w:tc>
          <w:tcPr>
            <w:tcW w:w="283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D581768" w14:textId="77777777" w:rsidR="00F55D06" w:rsidRDefault="00000000">
            <w:r>
              <w:rPr>
                <w:sz w:val="18"/>
              </w:rPr>
              <w:t>Base Florestal (CNAE 2)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786D6C2" w14:textId="77777777" w:rsidR="00F55D06" w:rsidRDefault="00000000">
            <w:pPr>
              <w:jc w:val="center"/>
            </w:pPr>
            <w:r>
              <w:rPr>
                <w:sz w:val="18"/>
              </w:rPr>
              <w:t>−0,6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AE9B28F" w14:textId="77777777" w:rsidR="00F55D06" w:rsidRDefault="00000000">
            <w:pPr>
              <w:jc w:val="center"/>
            </w:pPr>
            <w:r>
              <w:rPr>
                <w:sz w:val="18"/>
              </w:rPr>
              <w:t>0,0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273E8DF" w14:textId="77777777" w:rsidR="00F55D06" w:rsidRDefault="00000000">
            <w:pPr>
              <w:jc w:val="center"/>
            </w:pPr>
            <w:r>
              <w:rPr>
                <w:sz w:val="18"/>
              </w:rPr>
              <w:t>−0,6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3B99372" w14:textId="77777777" w:rsidR="00F55D06" w:rsidRDefault="00000000">
            <w:pPr>
              <w:jc w:val="center"/>
            </w:pPr>
            <w:r>
              <w:rPr>
                <w:sz w:val="18"/>
              </w:rPr>
              <w:t>0,0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15A4D7D" w14:textId="77777777" w:rsidR="00F55D06" w:rsidRDefault="00000000">
            <w:pPr>
              <w:jc w:val="center"/>
            </w:pPr>
            <w:r>
              <w:rPr>
                <w:sz w:val="18"/>
              </w:rPr>
              <w:t>−0,6</w:t>
            </w:r>
          </w:p>
        </w:tc>
      </w:tr>
      <w:tr w:rsidR="00F55D06" w14:paraId="6066AC53" w14:textId="77777777">
        <w:tc>
          <w:tcPr>
            <w:tcW w:w="283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70C0DDB3" w14:textId="77777777" w:rsidR="00F55D06" w:rsidRDefault="00000000">
            <w:r>
              <w:rPr>
                <w:b/>
                <w:sz w:val="18"/>
              </w:rPr>
              <w:t>Complexo Florestal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32060B26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147,7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2CE672AB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29,2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1FC9D700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118,6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1D49DC6A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0,0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359997F0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118,6</w:t>
            </w:r>
          </w:p>
        </w:tc>
      </w:tr>
    </w:tbl>
    <w:p w14:paraId="5DEDD9B2" w14:textId="77777777" w:rsidR="00F55D06" w:rsidRDefault="00000000">
      <w:r>
        <w:rPr>
          <w:i/>
          <w:color w:val="595959"/>
          <w:sz w:val="16"/>
        </w:rPr>
        <w:t>Nota: DB = Destruição Bruta | DC = Desvio de Comércio | DL = Destruição Líquida | EP = Efeito-Preço | PT = Perda Total. O EP do Complexo consolidado é zero porque o volume total para outros mercados recuou no período (apesar do valor em US$ ter crescido). Valores negativos em DB indicam crescimento das exportações para os EUA.</w:t>
      </w:r>
    </w:p>
    <w:p w14:paraId="08C570F0" w14:textId="77777777" w:rsidR="00F55D06" w:rsidRDefault="00F55D06">
      <w:pPr>
        <w:spacing w:after="80"/>
      </w:pPr>
    </w:p>
    <w:p w14:paraId="198A508D" w14:textId="77777777" w:rsidR="00F55D06" w:rsidRDefault="00000000">
      <w:pPr>
        <w:pStyle w:val="Ttulo2"/>
      </w:pPr>
      <w:r>
        <w:rPr>
          <w:color w:val="1F4E79"/>
          <w:sz w:val="24"/>
        </w:rPr>
        <w:t>6.2  Evolução do HHI de Concentração de Destinos</w:t>
      </w:r>
    </w:p>
    <w:p w14:paraId="6A40EEE3" w14:textId="77777777" w:rsidR="00F55D06" w:rsidRDefault="00000000">
      <w:pPr>
        <w:spacing w:after="40"/>
      </w:pPr>
      <w:r>
        <w:rPr>
          <w:b/>
          <w:i/>
          <w:color w:val="1F4E79"/>
          <w:sz w:val="20"/>
        </w:rPr>
        <w:t>Tabela 2 — Evolução do HHI por CNAE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2551"/>
        <w:gridCol w:w="1134"/>
        <w:gridCol w:w="1134"/>
        <w:gridCol w:w="1417"/>
        <w:gridCol w:w="1134"/>
        <w:gridCol w:w="1417"/>
      </w:tblGrid>
      <w:tr w:rsidR="00F55D06" w14:paraId="7CAA0AA1" w14:textId="77777777">
        <w:tc>
          <w:tcPr>
            <w:tcW w:w="255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819671C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Setor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195858C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HHI 2024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03126AC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HHI 2025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8A57405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HHI jan-mai 26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E60ADFF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Δ 2024–26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DFFE2BC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Classificação 2026</w:t>
            </w:r>
          </w:p>
        </w:tc>
      </w:tr>
      <w:tr w:rsidR="00F55D06" w14:paraId="62230340" w14:textId="77777777">
        <w:tc>
          <w:tcPr>
            <w:tcW w:w="255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266B581" w14:textId="77777777" w:rsidR="00F55D06" w:rsidRDefault="00000000">
            <w:r>
              <w:rPr>
                <w:sz w:val="18"/>
              </w:rPr>
              <w:t>Madeira (CNAE 16)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94DE8CF" w14:textId="77777777" w:rsidR="00F55D06" w:rsidRDefault="00000000">
            <w:pPr>
              <w:jc w:val="center"/>
            </w:pPr>
            <w:r>
              <w:rPr>
                <w:sz w:val="18"/>
              </w:rPr>
              <w:t>2.695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1CE929F7" w14:textId="77777777" w:rsidR="00F55D06" w:rsidRDefault="00000000">
            <w:pPr>
              <w:jc w:val="center"/>
            </w:pPr>
            <w:r>
              <w:rPr>
                <w:sz w:val="18"/>
              </w:rPr>
              <w:t>1.929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7FB9743" w14:textId="77777777" w:rsidR="00F55D06" w:rsidRDefault="00000000">
            <w:pPr>
              <w:jc w:val="center"/>
            </w:pPr>
            <w:r>
              <w:rPr>
                <w:sz w:val="18"/>
              </w:rPr>
              <w:t>1.253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9E6B776" w14:textId="77777777" w:rsidR="00F55D06" w:rsidRDefault="00000000">
            <w:pPr>
              <w:jc w:val="center"/>
            </w:pPr>
            <w:r>
              <w:rPr>
                <w:sz w:val="18"/>
              </w:rPr>
              <w:t>−1.442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31906B4" w14:textId="77777777" w:rsidR="00F55D06" w:rsidRDefault="00000000">
            <w:pPr>
              <w:jc w:val="center"/>
            </w:pPr>
            <w:r>
              <w:rPr>
                <w:sz w:val="18"/>
              </w:rPr>
              <w:t>Baixa concentração</w:t>
            </w:r>
          </w:p>
        </w:tc>
      </w:tr>
      <w:tr w:rsidR="00F55D06" w14:paraId="32A40960" w14:textId="77777777">
        <w:tc>
          <w:tcPr>
            <w:tcW w:w="255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7440A29C" w14:textId="77777777" w:rsidR="00F55D06" w:rsidRDefault="00000000">
            <w:r>
              <w:rPr>
                <w:sz w:val="18"/>
              </w:rPr>
              <w:t>Móveis (CNAE 31)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EAB3E3E" w14:textId="77777777" w:rsidR="00F55D06" w:rsidRDefault="00000000">
            <w:pPr>
              <w:jc w:val="center"/>
            </w:pPr>
            <w:r>
              <w:rPr>
                <w:sz w:val="18"/>
              </w:rPr>
              <w:t>2.362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A7FCF3A" w14:textId="77777777" w:rsidR="00F55D06" w:rsidRDefault="00000000">
            <w:pPr>
              <w:jc w:val="center"/>
            </w:pPr>
            <w:r>
              <w:rPr>
                <w:sz w:val="18"/>
              </w:rPr>
              <w:t>1.877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543DC3E7" w14:textId="77777777" w:rsidR="00F55D06" w:rsidRDefault="00000000">
            <w:pPr>
              <w:jc w:val="center"/>
            </w:pPr>
            <w:r>
              <w:rPr>
                <w:sz w:val="18"/>
              </w:rPr>
              <w:t>1.314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0915AF8" w14:textId="77777777" w:rsidR="00F55D06" w:rsidRDefault="00000000">
            <w:pPr>
              <w:jc w:val="center"/>
            </w:pPr>
            <w:r>
              <w:rPr>
                <w:sz w:val="18"/>
              </w:rPr>
              <w:t>−1.048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435BC512" w14:textId="77777777" w:rsidR="00F55D06" w:rsidRDefault="00000000">
            <w:pPr>
              <w:jc w:val="center"/>
            </w:pPr>
            <w:r>
              <w:rPr>
                <w:sz w:val="18"/>
              </w:rPr>
              <w:t>Baixa concentração</w:t>
            </w:r>
          </w:p>
        </w:tc>
      </w:tr>
      <w:tr w:rsidR="00F55D06" w14:paraId="169E2AE6" w14:textId="77777777">
        <w:tc>
          <w:tcPr>
            <w:tcW w:w="255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A086670" w14:textId="77777777" w:rsidR="00F55D06" w:rsidRDefault="00000000">
            <w:r>
              <w:rPr>
                <w:sz w:val="18"/>
              </w:rPr>
              <w:t>Papel e Celulose (CNAE 17)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F4ECA3B" w14:textId="77777777" w:rsidR="00F55D06" w:rsidRDefault="00000000">
            <w:pPr>
              <w:jc w:val="center"/>
            </w:pPr>
            <w:r>
              <w:rPr>
                <w:sz w:val="18"/>
              </w:rPr>
              <w:t>1.059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CB0F05B" w14:textId="77777777" w:rsidR="00F55D06" w:rsidRDefault="00000000">
            <w:pPr>
              <w:jc w:val="center"/>
            </w:pPr>
            <w:r>
              <w:rPr>
                <w:sz w:val="18"/>
              </w:rPr>
              <w:t>1.118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B01B25F" w14:textId="77777777" w:rsidR="00F55D06" w:rsidRDefault="00000000">
            <w:pPr>
              <w:jc w:val="center"/>
            </w:pPr>
            <w:r>
              <w:rPr>
                <w:sz w:val="18"/>
              </w:rPr>
              <w:t>1.078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B249BC9" w14:textId="77777777" w:rsidR="00F55D06" w:rsidRDefault="00000000">
            <w:pPr>
              <w:jc w:val="center"/>
            </w:pPr>
            <w:r>
              <w:rPr>
                <w:sz w:val="18"/>
              </w:rPr>
              <w:t>+19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6794D7B" w14:textId="77777777" w:rsidR="00F55D06" w:rsidRDefault="00000000">
            <w:pPr>
              <w:jc w:val="center"/>
            </w:pPr>
            <w:r>
              <w:rPr>
                <w:sz w:val="18"/>
              </w:rPr>
              <w:t>Baixa concentração</w:t>
            </w:r>
          </w:p>
        </w:tc>
      </w:tr>
      <w:tr w:rsidR="00F55D06" w14:paraId="37A5E89F" w14:textId="77777777">
        <w:tc>
          <w:tcPr>
            <w:tcW w:w="255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4CE06A68" w14:textId="77777777" w:rsidR="00F55D06" w:rsidRDefault="00000000">
            <w:r>
              <w:rPr>
                <w:b/>
                <w:sz w:val="18"/>
              </w:rPr>
              <w:t>Complexo Florestal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585F021A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1.863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4FE095FB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1.298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75E6A5A8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840</w:t>
            </w:r>
          </w:p>
        </w:tc>
        <w:tc>
          <w:tcPr>
            <w:tcW w:w="113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2C6E1851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−1.023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16A79FB0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Diversificado</w:t>
            </w:r>
          </w:p>
        </w:tc>
      </w:tr>
    </w:tbl>
    <w:p w14:paraId="72D9F2C0" w14:textId="77777777" w:rsidR="00F55D06" w:rsidRDefault="00000000">
      <w:r>
        <w:rPr>
          <w:i/>
          <w:color w:val="595959"/>
          <w:sz w:val="16"/>
        </w:rPr>
        <w:t>Nota: HHI calculado sobre valor FOB de Jan–Mai de cada ano. Papel e Celulose manteve HHI estável (+19 pontos) pois não sofreu tarifa de 50%. Δ = HHI jan-mai 2026 − HHI 2024.</w:t>
      </w:r>
    </w:p>
    <w:p w14:paraId="2E42AB88" w14:textId="77777777" w:rsidR="00F55D06" w:rsidRDefault="00F55D06">
      <w:pPr>
        <w:spacing w:after="80"/>
      </w:pPr>
    </w:p>
    <w:p w14:paraId="4EBB5CF1" w14:textId="77777777" w:rsidR="00F55D06" w:rsidRDefault="00000000">
      <w:pPr>
        <w:pStyle w:val="Ttulo2"/>
      </w:pPr>
      <w:r>
        <w:rPr>
          <w:color w:val="1F4E79"/>
          <w:sz w:val="24"/>
        </w:rPr>
        <w:lastRenderedPageBreak/>
        <w:t>6.3  Estimativa da Receita Foregone por Cenário</w:t>
      </w:r>
    </w:p>
    <w:p w14:paraId="04E96FE8" w14:textId="77777777" w:rsidR="00F55D06" w:rsidRDefault="00000000">
      <w:pPr>
        <w:spacing w:after="40"/>
      </w:pPr>
      <w:r>
        <w:rPr>
          <w:b/>
          <w:i/>
          <w:color w:val="1F4E79"/>
          <w:sz w:val="20"/>
        </w:rPr>
        <w:t>Tabela 3 — Receita Foregone por cenário contrafactual (US$ milhões)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2268"/>
        <w:gridCol w:w="963"/>
        <w:gridCol w:w="963"/>
        <w:gridCol w:w="963"/>
        <w:gridCol w:w="963"/>
        <w:gridCol w:w="963"/>
        <w:gridCol w:w="963"/>
      </w:tblGrid>
      <w:tr w:rsidR="00F55D06" w14:paraId="7F0C8E8C" w14:textId="77777777"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A76CF68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Setor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AFF7E22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 A (%)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6969E6B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RF A (mi)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B482DF6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 B (%)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B180DF5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RF B (mi)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4DC56CE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sh C (%)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3FAFEC4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RF C (mi)</w:t>
            </w:r>
          </w:p>
        </w:tc>
      </w:tr>
      <w:tr w:rsidR="00F55D06" w14:paraId="317E8B3C" w14:textId="77777777"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1FC5A00D" w14:textId="77777777" w:rsidR="00F55D06" w:rsidRDefault="00000000">
            <w:r>
              <w:rPr>
                <w:sz w:val="18"/>
              </w:rPr>
              <w:t>Madeira (CNAE 16)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B99CAB1" w14:textId="77777777" w:rsidR="00F55D06" w:rsidRDefault="00000000">
            <w:pPr>
              <w:jc w:val="center"/>
            </w:pPr>
            <w:r>
              <w:rPr>
                <w:sz w:val="18"/>
              </w:rPr>
              <w:t>48,58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601DC70" w14:textId="77777777" w:rsidR="00F55D06" w:rsidRDefault="00000000">
            <w:pPr>
              <w:jc w:val="center"/>
            </w:pPr>
            <w:r>
              <w:rPr>
                <w:sz w:val="18"/>
              </w:rPr>
              <w:t>76,5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072A382" w14:textId="77777777" w:rsidR="00F55D06" w:rsidRDefault="00000000">
            <w:pPr>
              <w:jc w:val="center"/>
            </w:pPr>
            <w:r>
              <w:rPr>
                <w:sz w:val="18"/>
              </w:rPr>
              <w:t>50,11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68F77E80" w14:textId="77777777" w:rsidR="00F55D06" w:rsidRDefault="00000000">
            <w:pPr>
              <w:jc w:val="center"/>
            </w:pPr>
            <w:r>
              <w:rPr>
                <w:sz w:val="18"/>
              </w:rPr>
              <w:t>83,5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9BCF141" w14:textId="77777777" w:rsidR="00F55D06" w:rsidRDefault="00000000">
            <w:pPr>
              <w:jc w:val="center"/>
            </w:pPr>
            <w:r>
              <w:rPr>
                <w:sz w:val="18"/>
              </w:rPr>
              <w:t>50,65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60803503" w14:textId="77777777" w:rsidR="00F55D06" w:rsidRDefault="00000000">
            <w:pPr>
              <w:jc w:val="center"/>
            </w:pPr>
            <w:r>
              <w:rPr>
                <w:sz w:val="18"/>
              </w:rPr>
              <w:t>85,9</w:t>
            </w:r>
          </w:p>
        </w:tc>
      </w:tr>
      <w:tr w:rsidR="00F55D06" w14:paraId="13108663" w14:textId="77777777"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5EB039C9" w14:textId="77777777" w:rsidR="00F55D06" w:rsidRDefault="00000000">
            <w:r>
              <w:rPr>
                <w:sz w:val="18"/>
              </w:rPr>
              <w:t>Móveis (CNAE 31)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9A5CEAE" w14:textId="77777777" w:rsidR="00F55D06" w:rsidRDefault="00000000">
            <w:pPr>
              <w:jc w:val="center"/>
            </w:pPr>
            <w:r>
              <w:rPr>
                <w:sz w:val="18"/>
              </w:rPr>
              <w:t>43,35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58F6A9F3" w14:textId="77777777" w:rsidR="00F55D06" w:rsidRDefault="00000000">
            <w:pPr>
              <w:jc w:val="center"/>
            </w:pPr>
            <w:r>
              <w:rPr>
                <w:sz w:val="18"/>
              </w:rPr>
              <w:t>10,5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09E2A6B9" w14:textId="77777777" w:rsidR="00F55D06" w:rsidRDefault="00000000">
            <w:pPr>
              <w:jc w:val="center"/>
            </w:pPr>
            <w:r>
              <w:rPr>
                <w:sz w:val="18"/>
              </w:rPr>
              <w:t>45,68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5722B9B5" w14:textId="77777777" w:rsidR="00F55D06" w:rsidRDefault="00000000">
            <w:pPr>
              <w:jc w:val="center"/>
            </w:pPr>
            <w:r>
              <w:rPr>
                <w:sz w:val="18"/>
              </w:rPr>
              <w:t>12,3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A3B3EED" w14:textId="77777777" w:rsidR="00F55D06" w:rsidRDefault="00000000">
            <w:pPr>
              <w:jc w:val="center"/>
            </w:pPr>
            <w:r>
              <w:rPr>
                <w:sz w:val="18"/>
              </w:rPr>
              <w:t>47,64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7DE9F2B2" w14:textId="77777777" w:rsidR="00F55D06" w:rsidRDefault="00000000">
            <w:pPr>
              <w:jc w:val="center"/>
            </w:pPr>
            <w:r>
              <w:rPr>
                <w:sz w:val="18"/>
              </w:rPr>
              <w:t>13,9</w:t>
            </w:r>
          </w:p>
        </w:tc>
      </w:tr>
      <w:tr w:rsidR="00F55D06" w14:paraId="2BF9AD42" w14:textId="77777777"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C0030D8" w14:textId="77777777" w:rsidR="00F55D06" w:rsidRDefault="00000000">
            <w:r>
              <w:rPr>
                <w:sz w:val="18"/>
              </w:rPr>
              <w:t>Papel e Celulose (CNAE 17)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2E5EC71B" w14:textId="77777777" w:rsidR="00F55D06" w:rsidRDefault="00000000">
            <w:pPr>
              <w:jc w:val="center"/>
            </w:pPr>
            <w:r>
              <w:rPr>
                <w:sz w:val="18"/>
              </w:rPr>
              <w:t>7,72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5091B5F" w14:textId="77777777" w:rsidR="00F55D06" w:rsidRDefault="00000000">
            <w:pPr>
              <w:jc w:val="center"/>
            </w:pPr>
            <w:r>
              <w:rPr>
                <w:sz w:val="18"/>
              </w:rPr>
              <w:t>5,6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96BC6B4" w14:textId="77777777" w:rsidR="00F55D06" w:rsidRDefault="00000000">
            <w:pPr>
              <w:jc w:val="center"/>
            </w:pPr>
            <w:r>
              <w:rPr>
                <w:sz w:val="18"/>
              </w:rPr>
              <w:t>7,61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6B2D443" w14:textId="77777777" w:rsidR="00F55D06" w:rsidRDefault="00000000">
            <w:pPr>
              <w:jc w:val="center"/>
            </w:pPr>
            <w:r>
              <w:rPr>
                <w:sz w:val="18"/>
              </w:rPr>
              <w:t>5,5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585E541" w14:textId="77777777" w:rsidR="00F55D06" w:rsidRDefault="00000000">
            <w:pPr>
              <w:jc w:val="center"/>
            </w:pPr>
            <w:r>
              <w:rPr>
                <w:sz w:val="18"/>
              </w:rPr>
              <w:t>10,35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CB8E36E" w14:textId="77777777" w:rsidR="00F55D06" w:rsidRDefault="00000000">
            <w:pPr>
              <w:jc w:val="center"/>
            </w:pPr>
            <w:r>
              <w:rPr>
                <w:sz w:val="18"/>
              </w:rPr>
              <w:t>9,7</w:t>
            </w:r>
          </w:p>
        </w:tc>
      </w:tr>
      <w:tr w:rsidR="00F55D06" w14:paraId="5070A077" w14:textId="77777777"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4787C98" w14:textId="77777777" w:rsidR="00F55D06" w:rsidRDefault="00000000">
            <w:r>
              <w:rPr>
                <w:sz w:val="18"/>
              </w:rPr>
              <w:t>Base Florestal (CNAE 2)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D508EDD" w14:textId="77777777" w:rsidR="00F55D06" w:rsidRDefault="00000000">
            <w:pPr>
              <w:jc w:val="center"/>
            </w:pPr>
            <w:r>
              <w:rPr>
                <w:sz w:val="18"/>
              </w:rPr>
              <w:t>0,47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56857E3D" w14:textId="77777777" w:rsidR="00F55D06" w:rsidRDefault="00000000">
            <w:pPr>
              <w:jc w:val="center"/>
            </w:pPr>
            <w:r>
              <w:rPr>
                <w:sz w:val="18"/>
              </w:rPr>
              <w:t>−0,6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5A48CEB6" w14:textId="77777777" w:rsidR="00F55D06" w:rsidRDefault="00000000">
            <w:pPr>
              <w:jc w:val="center"/>
            </w:pPr>
            <w:r>
              <w:rPr>
                <w:sz w:val="18"/>
              </w:rPr>
              <w:t>3,63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62F132E" w14:textId="77777777" w:rsidR="00F55D06" w:rsidRDefault="00000000">
            <w:pPr>
              <w:jc w:val="center"/>
            </w:pPr>
            <w:r>
              <w:rPr>
                <w:sz w:val="18"/>
              </w:rPr>
              <w:t>−0,1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46FF973D" w14:textId="77777777" w:rsidR="00F55D06" w:rsidRDefault="00000000">
            <w:pPr>
              <w:jc w:val="center"/>
            </w:pPr>
            <w:r>
              <w:rPr>
                <w:sz w:val="18"/>
              </w:rPr>
              <w:t>3,81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5659DC98" w14:textId="77777777" w:rsidR="00F55D06" w:rsidRDefault="00000000">
            <w:pPr>
              <w:jc w:val="center"/>
            </w:pPr>
            <w:r>
              <w:rPr>
                <w:sz w:val="18"/>
              </w:rPr>
              <w:t>0,0</w:t>
            </w:r>
          </w:p>
        </w:tc>
      </w:tr>
      <w:tr w:rsidR="00F55D06" w14:paraId="7D0BA07E" w14:textId="77777777">
        <w:tc>
          <w:tcPr>
            <w:tcW w:w="22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0BC8C8A1" w14:textId="77777777" w:rsidR="00F55D06" w:rsidRDefault="00000000">
            <w:r>
              <w:rPr>
                <w:b/>
                <w:sz w:val="18"/>
              </w:rPr>
              <w:t>Complexo Florestal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30C58256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39,18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2425D969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101,3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5B126583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41,04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6BCD40A8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114,4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3C3666B7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41,06</w:t>
            </w:r>
          </w:p>
        </w:tc>
        <w:tc>
          <w:tcPr>
            <w:tcW w:w="963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0E0F53B9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114,5</w:t>
            </w:r>
          </w:p>
        </w:tc>
      </w:tr>
    </w:tbl>
    <w:p w14:paraId="4218FC22" w14:textId="77777777" w:rsidR="00F55D06" w:rsidRDefault="00000000">
      <w:r>
        <w:rPr>
          <w:i/>
          <w:color w:val="595959"/>
          <w:sz w:val="16"/>
        </w:rPr>
        <w:t>Nota: sh = share EUA de referência no período k. RF = Receita Foregone. Valores negativos na Base Florestal indicam que as exportações para os EUA superaram o contrafactual. A convergência entre B e C (114,4 vs. 114,5 mi) valida a robustez do intervalo estimado.</w:t>
      </w:r>
    </w:p>
    <w:p w14:paraId="538D6FA7" w14:textId="77777777" w:rsidR="00F55D06" w:rsidRDefault="00F55D06">
      <w:pPr>
        <w:spacing w:after="80"/>
      </w:pPr>
    </w:p>
    <w:p w14:paraId="7401488F" w14:textId="77777777" w:rsidR="00F55D06" w:rsidRDefault="00000000">
      <w:pPr>
        <w:pStyle w:val="Ttulo1"/>
      </w:pPr>
      <w:r>
        <w:rPr>
          <w:color w:val="1F4E79"/>
        </w:rPr>
        <w:t>7. Síntese e Limitações Metodológicas</w:t>
      </w:r>
    </w:p>
    <w:p w14:paraId="70498F8E" w14:textId="77777777" w:rsidR="00F55D06" w:rsidRDefault="00000000">
      <w:pPr>
        <w:pStyle w:val="Ttulo2"/>
      </w:pPr>
      <w:r>
        <w:rPr>
          <w:color w:val="1F4E79"/>
          <w:sz w:val="24"/>
        </w:rPr>
        <w:t>7.1  Síntese por Setor</w:t>
      </w:r>
    </w:p>
    <w:p w14:paraId="5115334B" w14:textId="77777777" w:rsidR="00F55D06" w:rsidRDefault="00000000">
      <w:pPr>
        <w:spacing w:after="40"/>
      </w:pPr>
      <w:r>
        <w:rPr>
          <w:b/>
          <w:i/>
          <w:color w:val="1F4E79"/>
          <w:sz w:val="20"/>
        </w:rPr>
        <w:t>Tabela 4 — Síntese por setor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984"/>
        <w:gridCol w:w="3685"/>
        <w:gridCol w:w="1984"/>
        <w:gridCol w:w="1417"/>
      </w:tblGrid>
      <w:tr w:rsidR="00F55D06" w14:paraId="032A6EBE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55DB610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Setor</w:t>
            </w:r>
          </w:p>
        </w:tc>
        <w:tc>
          <w:tcPr>
            <w:tcW w:w="368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71E5A47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principal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27A472A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HHI 2024→2026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808C2E9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Receita foregone (B)</w:t>
            </w:r>
          </w:p>
        </w:tc>
      </w:tr>
      <w:tr w:rsidR="00F55D06" w14:paraId="2BF5016E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DE71983" w14:textId="77777777" w:rsidR="00F55D06" w:rsidRDefault="00000000">
            <w:r>
              <w:rPr>
                <w:sz w:val="18"/>
              </w:rPr>
              <w:t>Madeira (CNAE 16)</w:t>
            </w:r>
          </w:p>
        </w:tc>
        <w:tc>
          <w:tcPr>
            <w:tcW w:w="368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5CA69B1" w14:textId="77777777" w:rsidR="00F55D06" w:rsidRDefault="00000000">
            <w:pPr>
              <w:jc w:val="center"/>
            </w:pPr>
            <w:r>
              <w:rPr>
                <w:sz w:val="18"/>
              </w:rPr>
              <w:t>PT = US$ 115,7 mi. DB de 118,1 mi parcialmente compensada por desvio (32,5 mi) e penalizada por efeito-preço (30,1 mi).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145977F" w14:textId="77777777" w:rsidR="00F55D06" w:rsidRDefault="00000000">
            <w:pPr>
              <w:jc w:val="center"/>
            </w:pPr>
            <w:r>
              <w:rPr>
                <w:sz w:val="18"/>
              </w:rPr>
              <w:t>2.695 → 1.253  (−1.442)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15D1C811" w14:textId="77777777" w:rsidR="00F55D06" w:rsidRDefault="00000000">
            <w:pPr>
              <w:jc w:val="center"/>
            </w:pPr>
            <w:r>
              <w:rPr>
                <w:sz w:val="18"/>
              </w:rPr>
              <w:t>US$ 83,5 mi</w:t>
            </w:r>
          </w:p>
        </w:tc>
      </w:tr>
      <w:tr w:rsidR="00F55D06" w14:paraId="7B6A402F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714496D9" w14:textId="77777777" w:rsidR="00F55D06" w:rsidRDefault="00000000">
            <w:r>
              <w:rPr>
                <w:sz w:val="18"/>
              </w:rPr>
              <w:t>Móveis (CNAE 31)</w:t>
            </w:r>
          </w:p>
        </w:tc>
        <w:tc>
          <w:tcPr>
            <w:tcW w:w="368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F5C0461" w14:textId="77777777" w:rsidR="00F55D06" w:rsidRDefault="00000000">
            <w:pPr>
              <w:jc w:val="center"/>
            </w:pPr>
            <w:r>
              <w:rPr>
                <w:sz w:val="18"/>
              </w:rPr>
              <w:t>PT = US$ 24,9 mi. Sem desvio e sem efeito-preço — mercados alternativos não absorveram o volume perdido.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820FFB0" w14:textId="77777777" w:rsidR="00F55D06" w:rsidRDefault="00000000">
            <w:pPr>
              <w:jc w:val="center"/>
            </w:pPr>
            <w:r>
              <w:rPr>
                <w:sz w:val="18"/>
              </w:rPr>
              <w:t>2.362 → 1.314  (−1.048)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4FDE5EA" w14:textId="77777777" w:rsidR="00F55D06" w:rsidRDefault="00000000">
            <w:pPr>
              <w:jc w:val="center"/>
            </w:pPr>
            <w:r>
              <w:rPr>
                <w:sz w:val="18"/>
              </w:rPr>
              <w:t>US$ 12,3 mi</w:t>
            </w:r>
          </w:p>
        </w:tc>
      </w:tr>
      <w:tr w:rsidR="00F55D06" w14:paraId="3E9241B8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62D46C8" w14:textId="77777777" w:rsidR="00F55D06" w:rsidRDefault="00000000">
            <w:r>
              <w:rPr>
                <w:sz w:val="18"/>
              </w:rPr>
              <w:t>Papel e Celulose (CNAE 17)</w:t>
            </w:r>
          </w:p>
        </w:tc>
        <w:tc>
          <w:tcPr>
            <w:tcW w:w="368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2013C4E" w14:textId="77777777" w:rsidR="00F55D06" w:rsidRDefault="00000000">
            <w:pPr>
              <w:jc w:val="center"/>
            </w:pPr>
            <w:r>
              <w:rPr>
                <w:sz w:val="18"/>
              </w:rPr>
              <w:t>DL = −US$ 5,6 mi (cresceu em valor). Tarifa parcial (10%). Efeito-preço de 17,7 mi revela que crescimento foi a preços inferiores.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473210E" w14:textId="77777777" w:rsidR="00F55D06" w:rsidRDefault="00000000">
            <w:pPr>
              <w:jc w:val="center"/>
            </w:pPr>
            <w:r>
              <w:rPr>
                <w:sz w:val="18"/>
              </w:rPr>
              <w:t>1.059 → 1.078  (+19)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FC7C9B7" w14:textId="77777777" w:rsidR="00F55D06" w:rsidRDefault="00000000">
            <w:pPr>
              <w:jc w:val="center"/>
            </w:pPr>
            <w:r>
              <w:rPr>
                <w:sz w:val="18"/>
              </w:rPr>
              <w:t>US$ 5,5 mi</w:t>
            </w:r>
          </w:p>
        </w:tc>
      </w:tr>
      <w:tr w:rsidR="00F55D06" w14:paraId="3F2D5AC5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0BF00F02" w14:textId="77777777" w:rsidR="00F55D06" w:rsidRDefault="00000000">
            <w:r>
              <w:rPr>
                <w:sz w:val="18"/>
              </w:rPr>
              <w:t>Base Florestal (CNAE 2)</w:t>
            </w:r>
          </w:p>
        </w:tc>
        <w:tc>
          <w:tcPr>
            <w:tcW w:w="368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137C6711" w14:textId="77777777" w:rsidR="00F55D06" w:rsidRDefault="00000000">
            <w:pPr>
              <w:jc w:val="center"/>
            </w:pPr>
            <w:r>
              <w:rPr>
                <w:sz w:val="18"/>
              </w:rPr>
              <w:t>Impacto desprezível. DB = −0,6 mi (exportações para EUA cresceram).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68AB884" w14:textId="77777777" w:rsidR="00F55D06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2D5626A" w14:textId="77777777" w:rsidR="00F55D06" w:rsidRDefault="00000000">
            <w:pPr>
              <w:jc w:val="center"/>
            </w:pPr>
            <w:r>
              <w:rPr>
                <w:sz w:val="18"/>
              </w:rPr>
              <w:t>≈ 0</w:t>
            </w:r>
          </w:p>
        </w:tc>
      </w:tr>
      <w:tr w:rsidR="00F55D06" w14:paraId="1ED08CC1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49FFFE60" w14:textId="77777777" w:rsidR="00F55D06" w:rsidRDefault="00000000">
            <w:r>
              <w:rPr>
                <w:b/>
                <w:sz w:val="18"/>
              </w:rPr>
              <w:t>Complexo Florestal</w:t>
            </w:r>
          </w:p>
        </w:tc>
        <w:tc>
          <w:tcPr>
            <w:tcW w:w="3685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7CCE754C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DB 147,7 mi | DC 29,2 mi | DL 118,6 mi. Receita foregone: US$ 101–115 mi.</w:t>
            </w:r>
          </w:p>
        </w:tc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1776EF4E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1.863 → 840  (−1.023)</w:t>
            </w:r>
          </w:p>
        </w:tc>
        <w:tc>
          <w:tcPr>
            <w:tcW w:w="141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48C73F34" w14:textId="77777777" w:rsidR="00F55D06" w:rsidRDefault="00000000">
            <w:pPr>
              <w:jc w:val="center"/>
            </w:pPr>
            <w:r>
              <w:rPr>
                <w:b/>
                <w:sz w:val="18"/>
              </w:rPr>
              <w:t>US$ 114,4 mi</w:t>
            </w:r>
          </w:p>
        </w:tc>
      </w:tr>
    </w:tbl>
    <w:p w14:paraId="41B479F1" w14:textId="77777777" w:rsidR="00F55D06" w:rsidRDefault="00F55D06">
      <w:pPr>
        <w:spacing w:after="80"/>
      </w:pPr>
    </w:p>
    <w:p w14:paraId="43B6E45F" w14:textId="77777777" w:rsidR="00F55D06" w:rsidRDefault="00000000">
      <w:pPr>
        <w:pStyle w:val="Ttulo2"/>
      </w:pPr>
      <w:r>
        <w:rPr>
          <w:color w:val="1F4E79"/>
          <w:sz w:val="24"/>
        </w:rPr>
        <w:t>7.2  Limitações Metodológicas</w:t>
      </w:r>
    </w:p>
    <w:p w14:paraId="5A63F7D6" w14:textId="77777777" w:rsidR="00F55D06" w:rsidRDefault="00000000">
      <w:pPr>
        <w:pStyle w:val="Commarcadores"/>
        <w:spacing w:after="40"/>
      </w:pPr>
      <w:r>
        <w:rPr>
          <w:sz w:val="20"/>
        </w:rPr>
        <w:t>Causalidade vs. correlação: toda a queda nos EUA é atribuída às tarifas. Outros fatores (ciclo da construção civil americana, câmbio, estoques) podem ter contribuído.</w:t>
      </w:r>
    </w:p>
    <w:p w14:paraId="4827B917" w14:textId="77777777" w:rsidR="00F55D06" w:rsidRDefault="00000000">
      <w:pPr>
        <w:pStyle w:val="Commarcadores"/>
        <w:spacing w:after="40"/>
      </w:pPr>
      <w:r>
        <w:rPr>
          <w:sz w:val="20"/>
        </w:rPr>
        <w:lastRenderedPageBreak/>
        <w:t>Desvio medido em valor, não em quantidade: ganhos em outros mercados podem refletir aumento de preço sem expansão de volume. O Efeito-Preço tenta corrigir isso, mas assume prêmio uniforme por CNAE.</w:t>
      </w:r>
    </w:p>
    <w:p w14:paraId="36F473DC" w14:textId="77777777" w:rsidR="00F55D06" w:rsidRDefault="00000000">
      <w:pPr>
        <w:pStyle w:val="Commarcadores"/>
        <w:spacing w:after="40"/>
      </w:pPr>
      <w:r>
        <w:rPr>
          <w:sz w:val="20"/>
        </w:rPr>
        <w:t>Share de referência estático: o contrafactual supõe que o share dos EUA seria constante. Ignora crescimento orgânico que poderia ter ocorrido sem tarifas.</w:t>
      </w:r>
    </w:p>
    <w:p w14:paraId="5B0D83DB" w14:textId="77777777" w:rsidR="00F55D06" w:rsidRDefault="00000000">
      <w:pPr>
        <w:pStyle w:val="Commarcadores"/>
        <w:spacing w:after="40"/>
      </w:pPr>
      <w:r>
        <w:rPr>
          <w:sz w:val="20"/>
        </w:rPr>
        <w:t>Agregação por CNAE: heterogeneidade interna (ex.: madeira serrada vs. MDF dentro do CNAE 16) pode gerar resultados distintos ao nível de produto (NCM-8).</w:t>
      </w:r>
    </w:p>
    <w:p w14:paraId="30884698" w14:textId="77777777" w:rsidR="00F55D06" w:rsidRDefault="00000000">
      <w:pPr>
        <w:pStyle w:val="Commarcadores"/>
        <w:spacing w:after="40"/>
      </w:pPr>
      <w:r>
        <w:rPr>
          <w:sz w:val="20"/>
        </w:rPr>
        <w:t>Período de análise: 5 meses capturam o impacto imediato. Efeitos de médio prazo — fechamento de empresas, perda de contratos, realocação de capacidade produtiva — não estão refletidos.</w:t>
      </w:r>
    </w:p>
    <w:p w14:paraId="77090D7B" w14:textId="77777777" w:rsidR="00F55D06" w:rsidRDefault="00000000">
      <w:pPr>
        <w:pStyle w:val="Commarcadores"/>
        <w:spacing w:after="40"/>
      </w:pPr>
      <w:r>
        <w:rPr>
          <w:sz w:val="20"/>
        </w:rPr>
        <w:t>HHI e qualidade dos destinos: um índice baixo pode mascarar dependência de mercados com baixo poder de compra ou alta instabilidade política.</w:t>
      </w:r>
    </w:p>
    <w:p w14:paraId="315726D7" w14:textId="77777777" w:rsidR="00F55D06" w:rsidRDefault="00000000">
      <w:pPr>
        <w:pStyle w:val="Ttulo1"/>
      </w:pPr>
      <w:r>
        <w:rPr>
          <w:color w:val="1F4E79"/>
        </w:rPr>
        <w:t>Referências</w:t>
      </w:r>
    </w:p>
    <w:p w14:paraId="7779C305" w14:textId="77777777" w:rsidR="00F55D06" w:rsidRDefault="00000000">
      <w:pPr>
        <w:spacing w:after="160"/>
      </w:pPr>
      <w:r>
        <w:rPr>
          <w:i/>
          <w:color w:val="595959"/>
          <w:sz w:val="18"/>
        </w:rPr>
        <w:t>Referências elaboradas conforme ABNT NBR 6023:2018.</w:t>
      </w:r>
    </w:p>
    <w:p w14:paraId="153B8A82" w14:textId="77777777" w:rsidR="00F55D06" w:rsidRDefault="00000000">
      <w:pPr>
        <w:spacing w:after="120"/>
      </w:pPr>
      <w:r>
        <w:rPr>
          <w:sz w:val="20"/>
        </w:rPr>
        <w:t xml:space="preserve">BRASIL. Ministério do Desenvolvimento, Indústria, Comércio e Serviços. </w:t>
      </w:r>
      <w:r>
        <w:rPr>
          <w:b/>
          <w:sz w:val="20"/>
        </w:rPr>
        <w:t>ComexStat</w:t>
      </w:r>
      <w:r>
        <w:rPr>
          <w:sz w:val="20"/>
        </w:rPr>
        <w:t>: sistema de análise das informações de comércio exterior. Brasília, DF: MDIC, 2026. Disponível em: https://comexstat.mdic.gov.br. Acesso em: 19 jun. 2026.</w:t>
      </w:r>
    </w:p>
    <w:p w14:paraId="283D6216" w14:textId="77777777" w:rsidR="00F55D06" w:rsidRDefault="00000000">
      <w:pPr>
        <w:spacing w:after="120"/>
      </w:pPr>
      <w:r>
        <w:rPr>
          <w:sz w:val="20"/>
        </w:rPr>
        <w:t xml:space="preserve">FEDERAÇÃO DAS INDÚSTRIAS DO ESTADO DE SANTA CATARINA. Observatório FIESC. </w:t>
      </w:r>
      <w:r>
        <w:rPr>
          <w:b/>
          <w:sz w:val="20"/>
        </w:rPr>
        <w:t>Dicionário NCM–CNAE</w:t>
      </w:r>
      <w:r>
        <w:rPr>
          <w:sz w:val="20"/>
        </w:rPr>
        <w:t>: mapeamento do Complexo Florestal de Santa Catarina. Versão atualizada em 7 abr. 2026. Florianópolis: FIESC, 2026.</w:t>
      </w:r>
    </w:p>
    <w:p w14:paraId="55E8BD0F" w14:textId="77777777" w:rsidR="00F55D06" w:rsidRDefault="00000000">
      <w:pPr>
        <w:spacing w:after="120"/>
      </w:pPr>
      <w:r>
        <w:rPr>
          <w:sz w:val="20"/>
        </w:rPr>
        <w:t xml:space="preserve">HERFINDAHL, Orris C. </w:t>
      </w:r>
      <w:r>
        <w:rPr>
          <w:b/>
          <w:sz w:val="20"/>
        </w:rPr>
        <w:t>Concentration in the steel industry</w:t>
      </w:r>
      <w:r>
        <w:rPr>
          <w:sz w:val="20"/>
        </w:rPr>
        <w:t>. 1950. Tese (Doutorado em Economia) — Columbia University, Nova York, 1950.</w:t>
      </w:r>
    </w:p>
    <w:p w14:paraId="5CA9C4D6" w14:textId="77777777" w:rsidR="00F55D06" w:rsidRDefault="00000000">
      <w:pPr>
        <w:spacing w:after="120"/>
      </w:pPr>
      <w:r>
        <w:rPr>
          <w:sz w:val="20"/>
        </w:rPr>
        <w:t xml:space="preserve">HIRSCHMAN, Albert O. </w:t>
      </w:r>
      <w:r>
        <w:rPr>
          <w:b/>
          <w:sz w:val="20"/>
        </w:rPr>
        <w:t>National power and the structure of foreign trade</w:t>
      </w:r>
      <w:r>
        <w:rPr>
          <w:sz w:val="20"/>
        </w:rPr>
        <w:t>. Berkeley: University of California Press, 1945.</w:t>
      </w:r>
    </w:p>
    <w:p w14:paraId="77F11E28" w14:textId="77777777" w:rsidR="00F55D06" w:rsidRDefault="00000000">
      <w:pPr>
        <w:spacing w:after="120"/>
      </w:pPr>
      <w:r>
        <w:rPr>
          <w:sz w:val="20"/>
        </w:rPr>
        <w:t xml:space="preserve">UNITED STATES. Department of Justice; Federal Trade Commission. </w:t>
      </w:r>
      <w:r>
        <w:rPr>
          <w:b/>
          <w:sz w:val="20"/>
        </w:rPr>
        <w:t>Horizontal merger guidelines</w:t>
      </w:r>
      <w:r>
        <w:rPr>
          <w:sz w:val="20"/>
        </w:rPr>
        <w:t>. Washington, DC: DOJ/FTC, 19 ago. 2010. Disponível em: https://www.justice.gov/atr/horizontal-merger-guidelines-08192010. Acesso em: 19 jun. 2026.</w:t>
      </w:r>
    </w:p>
    <w:p w14:paraId="781ECB41" w14:textId="77777777" w:rsidR="00F55D06" w:rsidRDefault="00000000">
      <w:pPr>
        <w:spacing w:after="120"/>
      </w:pPr>
      <w:r>
        <w:rPr>
          <w:sz w:val="20"/>
        </w:rPr>
        <w:t xml:space="preserve">UNITED STATES. The White House. </w:t>
      </w:r>
      <w:r>
        <w:rPr>
          <w:b/>
          <w:sz w:val="20"/>
        </w:rPr>
        <w:t>Executive order: modifying the scope of tariffs on the Government of Brazil</w:t>
      </w:r>
      <w:r>
        <w:rPr>
          <w:sz w:val="20"/>
        </w:rPr>
        <w:t>. Washington, DC: The White House, 30 jul. 2025. Vigência: 6 ago. 2025. Disponível em: https://ballotpedia.org/Executive_Order:_Modifying_the_Scope_of_Tariffs_on_the_Government_of_Brazil_(Donald_Trump,_2025). Acesso em: 19 jun. 2026.</w:t>
      </w:r>
    </w:p>
    <w:p w14:paraId="50687E04" w14:textId="77777777" w:rsidR="00F55D06" w:rsidRDefault="00000000">
      <w:pPr>
        <w:spacing w:after="120"/>
      </w:pPr>
      <w:r>
        <w:rPr>
          <w:sz w:val="20"/>
        </w:rPr>
        <w:t xml:space="preserve">VINER, Jacob. </w:t>
      </w:r>
      <w:r>
        <w:rPr>
          <w:b/>
          <w:sz w:val="20"/>
        </w:rPr>
        <w:t>The customs union issue</w:t>
      </w:r>
      <w:r>
        <w:rPr>
          <w:sz w:val="20"/>
        </w:rPr>
        <w:t>. Nova York: Carnegie Endowment for International Peace, 1950.</w:t>
      </w:r>
    </w:p>
    <w:p w14:paraId="53B72D9A" w14:textId="77777777" w:rsidR="00F55D06" w:rsidRDefault="00000000">
      <w:pPr>
        <w:spacing w:after="120"/>
      </w:pPr>
      <w:r>
        <w:rPr>
          <w:sz w:val="20"/>
        </w:rPr>
        <w:t xml:space="preserve">WORLD BANK. </w:t>
      </w:r>
      <w:r>
        <w:rPr>
          <w:b/>
          <w:sz w:val="20"/>
        </w:rPr>
        <w:t>Export diversification and quality</w:t>
      </w:r>
      <w:r>
        <w:rPr>
          <w:sz w:val="20"/>
        </w:rPr>
        <w:t>. Washington, DC: World Bank, 2012.</w:t>
      </w:r>
    </w:p>
    <w:p w14:paraId="355D5818" w14:textId="77777777" w:rsidR="00F55D06" w:rsidRDefault="00000000">
      <w:pPr>
        <w:pStyle w:val="Ttulo1"/>
      </w:pPr>
      <w:r>
        <w:rPr>
          <w:color w:val="1F4E79"/>
        </w:rPr>
        <w:t>Apêndice — Glossário Completo de Variáveis</w:t>
      </w:r>
    </w:p>
    <w:tbl>
      <w:tblPr>
        <w:tblW w:w="0" w:type="auto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6" w:space="0" w:color="1F4E79"/>
          <w:insideV w:val="single" w:sz="6" w:space="0" w:color="1F4E79"/>
        </w:tblBorders>
        <w:tblLook w:val="04A0" w:firstRow="1" w:lastRow="0" w:firstColumn="1" w:lastColumn="0" w:noHBand="0" w:noVBand="1"/>
      </w:tblPr>
      <w:tblGrid>
        <w:gridCol w:w="1984"/>
        <w:gridCol w:w="6804"/>
      </w:tblGrid>
      <w:tr w:rsidR="00F55D06" w14:paraId="7DD4045D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90960D1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7D4126F" w14:textId="77777777" w:rsidR="00F55D0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F55D06" w14:paraId="2D9E654C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9B84E09" w14:textId="77777777" w:rsidR="00F55D06" w:rsidRDefault="00000000">
            <w:r>
              <w:rPr>
                <w:sz w:val="18"/>
              </w:rPr>
              <w:t>X(d, s, t)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E9678A0" w14:textId="77777777" w:rsidR="00F55D06" w:rsidRDefault="00000000">
            <w:pPr>
              <w:jc w:val="center"/>
            </w:pPr>
            <w:r>
              <w:rPr>
                <w:sz w:val="18"/>
              </w:rPr>
              <w:t>Valor FOB (US$) exportado pelo setor s para o destino d em Jan–Mai do ano t</w:t>
            </w:r>
          </w:p>
        </w:tc>
      </w:tr>
      <w:tr w:rsidR="00F55D06" w14:paraId="69AB6D60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0A0DFEA" w14:textId="77777777" w:rsidR="00F55D06" w:rsidRDefault="00000000">
            <w:r>
              <w:rPr>
                <w:sz w:val="18"/>
              </w:rPr>
              <w:t>Q(d, s, t)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6BADC8A" w14:textId="77777777" w:rsidR="00F55D06" w:rsidRDefault="00000000">
            <w:pPr>
              <w:jc w:val="center"/>
            </w:pPr>
            <w:r>
              <w:rPr>
                <w:sz w:val="18"/>
              </w:rPr>
              <w:t>Volume (kg líquido) exportado pelo setor s para d em Jan–Mai do ano t</w:t>
            </w:r>
          </w:p>
        </w:tc>
      </w:tr>
      <w:tr w:rsidR="00F55D06" w14:paraId="792075B1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08FF482" w14:textId="77777777" w:rsidR="00F55D06" w:rsidRDefault="00000000">
            <w:r>
              <w:rPr>
                <w:sz w:val="18"/>
              </w:rPr>
              <w:lastRenderedPageBreak/>
              <w:t>X_TOT(s, t)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DA409FF" w14:textId="77777777" w:rsidR="00F55D06" w:rsidRDefault="00000000">
            <w:pPr>
              <w:jc w:val="center"/>
            </w:pPr>
            <w:r>
              <w:rPr>
                <w:sz w:val="18"/>
              </w:rPr>
              <w:t>Total exportado pelo setor s em Jan–Mai do ano t (soma sobre todos os destinos)</w:t>
            </w:r>
          </w:p>
        </w:tc>
      </w:tr>
      <w:tr w:rsidR="00F55D06" w14:paraId="2C52EE40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D500361" w14:textId="77777777" w:rsidR="00F55D06" w:rsidRDefault="00000000">
            <w:r>
              <w:rPr>
                <w:sz w:val="18"/>
              </w:rPr>
              <w:t>VU(d, s, t)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19E98A6" w14:textId="77777777" w:rsidR="00F55D06" w:rsidRDefault="00000000">
            <w:pPr>
              <w:jc w:val="center"/>
            </w:pPr>
            <w:r>
              <w:rPr>
                <w:sz w:val="18"/>
              </w:rPr>
              <w:t>Valor unitário médio: X(d,s,t) / Q(d,s,t) em US$/kg</w:t>
            </w:r>
          </w:p>
        </w:tc>
      </w:tr>
      <w:tr w:rsidR="00F55D06" w14:paraId="25F793C8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48ACDD8" w14:textId="77777777" w:rsidR="00F55D06" w:rsidRDefault="00000000">
            <w:r>
              <w:rPr>
                <w:sz w:val="18"/>
              </w:rPr>
              <w:t>EUA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C077A9C" w14:textId="77777777" w:rsidR="00F55D06" w:rsidRDefault="00000000">
            <w:pPr>
              <w:jc w:val="center"/>
            </w:pPr>
            <w:r>
              <w:rPr>
                <w:sz w:val="18"/>
              </w:rPr>
              <w:t>Estados Unidos (código ISO 249)</w:t>
            </w:r>
          </w:p>
        </w:tc>
      </w:tr>
      <w:tr w:rsidR="00F55D06" w14:paraId="2DACB5D4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5ED22B8" w14:textId="77777777" w:rsidR="00F55D06" w:rsidRDefault="00000000">
            <w:r>
              <w:rPr>
                <w:sz w:val="18"/>
              </w:rPr>
              <w:t>OUT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1559B620" w14:textId="77777777" w:rsidR="00F55D06" w:rsidRDefault="00000000">
            <w:pPr>
              <w:jc w:val="center"/>
            </w:pPr>
            <w:r>
              <w:rPr>
                <w:sz w:val="18"/>
              </w:rPr>
              <w:t>Todos os destinos exceto EUA</w:t>
            </w:r>
          </w:p>
        </w:tc>
      </w:tr>
      <w:tr w:rsidR="00F55D06" w14:paraId="0A160006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55C85570" w14:textId="77777777" w:rsidR="00F55D06" w:rsidRDefault="00000000">
            <w:r>
              <w:rPr>
                <w:sz w:val="18"/>
              </w:rPr>
              <w:t>CF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5F5F5"/>
          </w:tcPr>
          <w:p w14:paraId="01829836" w14:textId="77777777" w:rsidR="00F55D06" w:rsidRDefault="00000000">
            <w:pPr>
              <w:jc w:val="center"/>
            </w:pPr>
            <w:r>
              <w:rPr>
                <w:sz w:val="18"/>
              </w:rPr>
              <w:t>Complexo Florestal (CNAE 2 + 16 + 17 + 31)</w:t>
            </w:r>
          </w:p>
        </w:tc>
      </w:tr>
      <w:tr w:rsidR="00F55D06" w14:paraId="624E6EE7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090BA6B3" w14:textId="77777777" w:rsidR="00F55D06" w:rsidRDefault="00000000">
            <w:r>
              <w:rPr>
                <w:sz w:val="18"/>
              </w:rPr>
              <w:t>DB(s)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1F06C8B4" w14:textId="77777777" w:rsidR="00F55D06" w:rsidRDefault="00000000">
            <w:pPr>
              <w:jc w:val="center"/>
            </w:pPr>
            <w:r>
              <w:rPr>
                <w:sz w:val="18"/>
              </w:rPr>
              <w:t>Destruição Bruta: X(EUA,s,2025) − X(EUA,s,2026)</w:t>
            </w:r>
          </w:p>
        </w:tc>
      </w:tr>
      <w:tr w:rsidR="00F55D06" w14:paraId="0911C277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6017D60" w14:textId="77777777" w:rsidR="00F55D06" w:rsidRDefault="00000000">
            <w:r>
              <w:rPr>
                <w:sz w:val="18"/>
              </w:rPr>
              <w:t>DC(s)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233D226" w14:textId="77777777" w:rsidR="00F55D06" w:rsidRDefault="00000000">
            <w:pPr>
              <w:jc w:val="center"/>
            </w:pPr>
            <w:r>
              <w:rPr>
                <w:sz w:val="18"/>
              </w:rPr>
              <w:t>Desvio de Comércio: máx[ X(OUT,s,2026) − X(OUT,s,2025) ; 0 ]</w:t>
            </w:r>
          </w:p>
        </w:tc>
      </w:tr>
      <w:tr w:rsidR="00F55D06" w14:paraId="791E1BE9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095E0DB9" w14:textId="77777777" w:rsidR="00F55D06" w:rsidRDefault="00000000">
            <w:r>
              <w:rPr>
                <w:sz w:val="18"/>
              </w:rPr>
              <w:t>DL(s)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78413869" w14:textId="77777777" w:rsidR="00F55D06" w:rsidRDefault="00000000">
            <w:pPr>
              <w:jc w:val="center"/>
            </w:pPr>
            <w:r>
              <w:rPr>
                <w:sz w:val="18"/>
              </w:rPr>
              <w:t>Destruição Líquida: DB(s) − DC(s)</w:t>
            </w:r>
          </w:p>
        </w:tc>
      </w:tr>
      <w:tr w:rsidR="00F55D06" w14:paraId="7222ADB0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1321BEF2" w14:textId="77777777" w:rsidR="00F55D06" w:rsidRDefault="00000000">
            <w:r>
              <w:rPr>
                <w:sz w:val="18"/>
              </w:rPr>
              <w:t>π(s)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10A702CA" w14:textId="77777777" w:rsidR="00F55D06" w:rsidRDefault="00000000">
            <w:pPr>
              <w:jc w:val="center"/>
            </w:pPr>
            <w:r>
              <w:rPr>
                <w:sz w:val="18"/>
              </w:rPr>
              <w:t>Prêmio de Mercado EUA: VU(EUA,s,2025) − VU(OUT,s,2025) em US$/kg</w:t>
            </w:r>
          </w:p>
        </w:tc>
      </w:tr>
      <w:tr w:rsidR="00F55D06" w14:paraId="045BDBC8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76E1C85" w14:textId="77777777" w:rsidR="00F55D06" w:rsidRDefault="00000000">
            <w:r>
              <w:rPr>
                <w:sz w:val="18"/>
              </w:rPr>
              <w:t>ΔQ_OUT(s)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1648DD3B" w14:textId="77777777" w:rsidR="00F55D06" w:rsidRDefault="00000000">
            <w:pPr>
              <w:jc w:val="center"/>
            </w:pPr>
            <w:r>
              <w:rPr>
                <w:sz w:val="18"/>
              </w:rPr>
              <w:t>Variação de volume para OUT: Q(OUT,s,2026) − Q(OUT,s,2025)</w:t>
            </w:r>
          </w:p>
        </w:tc>
      </w:tr>
      <w:tr w:rsidR="00F55D06" w14:paraId="18DE4C72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530B35BC" w14:textId="77777777" w:rsidR="00F55D06" w:rsidRDefault="00000000">
            <w:r>
              <w:rPr>
                <w:sz w:val="18"/>
              </w:rPr>
              <w:t>EP(s)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0196255" w14:textId="77777777" w:rsidR="00F55D06" w:rsidRDefault="00000000">
            <w:pPr>
              <w:jc w:val="center"/>
            </w:pPr>
            <w:r>
              <w:rPr>
                <w:sz w:val="18"/>
              </w:rPr>
              <w:t>Efeito-Preço: máx(ΔQ_OUT(s), 0) × máx(π(s), 0)</w:t>
            </w:r>
          </w:p>
        </w:tc>
      </w:tr>
      <w:tr w:rsidR="00F55D06" w14:paraId="62CE441B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32764BE" w14:textId="77777777" w:rsidR="00F55D06" w:rsidRDefault="00000000">
            <w:r>
              <w:rPr>
                <w:sz w:val="18"/>
              </w:rPr>
              <w:t>PT(s)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395090C2" w14:textId="77777777" w:rsidR="00F55D06" w:rsidRDefault="00000000">
            <w:pPr>
              <w:jc w:val="center"/>
            </w:pPr>
            <w:r>
              <w:rPr>
                <w:sz w:val="18"/>
              </w:rPr>
              <w:t>Perda Total: DL(s) + EP(s)</w:t>
            </w:r>
          </w:p>
        </w:tc>
      </w:tr>
      <w:tr w:rsidR="00F55D06" w14:paraId="3D174645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1E17B3A6" w14:textId="77777777" w:rsidR="00F55D06" w:rsidRDefault="00000000">
            <w:r>
              <w:rPr>
                <w:sz w:val="18"/>
              </w:rPr>
              <w:t>HHI(s, t)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0E53BA1B" w14:textId="77777777" w:rsidR="00F55D06" w:rsidRDefault="00000000">
            <w:pPr>
              <w:jc w:val="center"/>
            </w:pPr>
            <w:r>
              <w:rPr>
                <w:sz w:val="18"/>
              </w:rPr>
              <w:t>Índice Herfindahl-Hirschman do setor s no período t</w:t>
            </w:r>
          </w:p>
        </w:tc>
      </w:tr>
      <w:tr w:rsidR="00F55D06" w14:paraId="457BCC38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40EFA234" w14:textId="77777777" w:rsidR="00F55D06" w:rsidRDefault="00000000">
            <w:r>
              <w:rPr>
                <w:sz w:val="18"/>
              </w:rPr>
              <w:t>h(i, s, t)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442E7643" w14:textId="77777777" w:rsidR="00F55D06" w:rsidRDefault="00000000">
            <w:pPr>
              <w:jc w:val="center"/>
            </w:pPr>
            <w:r>
              <w:rPr>
                <w:sz w:val="18"/>
              </w:rPr>
              <w:t>Contribuição individual do país i ao HHI: [X(i,s,t)/X_TOT(s,t) × 100]²</w:t>
            </w:r>
          </w:p>
        </w:tc>
      </w:tr>
      <w:tr w:rsidR="00F55D06" w14:paraId="4F27F1AB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39565F0E" w14:textId="77777777" w:rsidR="00F55D06" w:rsidRDefault="00000000">
            <w:r>
              <w:rPr>
                <w:sz w:val="18"/>
              </w:rPr>
              <w:t>N(s, t)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41896657" w14:textId="77777777" w:rsidR="00F55D06" w:rsidRDefault="00000000">
            <w:pPr>
              <w:jc w:val="center"/>
            </w:pPr>
            <w:r>
              <w:rPr>
                <w:sz w:val="18"/>
              </w:rPr>
              <w:t>Número de países destino com exportação positiva (setor s, período t)</w:t>
            </w:r>
          </w:p>
        </w:tc>
      </w:tr>
      <w:tr w:rsidR="00F55D06" w14:paraId="7970F36F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4A6F13B3" w14:textId="77777777" w:rsidR="00F55D06" w:rsidRDefault="00000000">
            <w:r>
              <w:rPr>
                <w:sz w:val="18"/>
              </w:rPr>
              <w:t>sh_EUA(s, k)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2253870E" w14:textId="77777777" w:rsidR="00F55D06" w:rsidRDefault="00000000">
            <w:pPr>
              <w:jc w:val="center"/>
            </w:pPr>
            <w:r>
              <w:rPr>
                <w:sz w:val="18"/>
              </w:rPr>
              <w:t>Share EUA de referência: X(EUA,s,k) / X_TOT(s,k)</w:t>
            </w:r>
          </w:p>
        </w:tc>
      </w:tr>
      <w:tr w:rsidR="00F55D06" w14:paraId="14643CA9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7D37D0DF" w14:textId="77777777" w:rsidR="00F55D06" w:rsidRDefault="00000000">
            <w:r>
              <w:rPr>
                <w:sz w:val="18"/>
              </w:rPr>
              <w:t>X̂_EUA(s, k)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DEEAF1"/>
          </w:tcPr>
          <w:p w14:paraId="6154FC69" w14:textId="77777777" w:rsidR="00F55D06" w:rsidRDefault="00000000">
            <w:pPr>
              <w:jc w:val="center"/>
            </w:pPr>
            <w:r>
              <w:rPr>
                <w:sz w:val="18"/>
              </w:rPr>
              <w:t>Exportações contrafactuais para os EUA: X_TOT(s,2026) × sh_EUA(s,k)</w:t>
            </w:r>
          </w:p>
        </w:tc>
      </w:tr>
      <w:tr w:rsidR="00F55D06" w14:paraId="5F824DB5" w14:textId="77777777">
        <w:tc>
          <w:tcPr>
            <w:tcW w:w="19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477E42D" w14:textId="77777777" w:rsidR="00F55D06" w:rsidRDefault="00000000">
            <w:r>
              <w:rPr>
                <w:sz w:val="18"/>
              </w:rPr>
              <w:t>RF(s, k)</w:t>
            </w:r>
          </w:p>
        </w:tc>
        <w:tc>
          <w:tcPr>
            <w:tcW w:w="68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FFFFFF"/>
          </w:tcPr>
          <w:p w14:paraId="667988CF" w14:textId="77777777" w:rsidR="00F55D06" w:rsidRDefault="00000000">
            <w:pPr>
              <w:jc w:val="center"/>
            </w:pPr>
            <w:r>
              <w:rPr>
                <w:sz w:val="18"/>
              </w:rPr>
              <w:t>Receita Foregone: X̂_EUA(s,k) − X(EUA,s,2026)</w:t>
            </w:r>
          </w:p>
        </w:tc>
      </w:tr>
    </w:tbl>
    <w:p w14:paraId="24EBF0CC" w14:textId="77777777" w:rsidR="00F55D06" w:rsidRDefault="00F55D06">
      <w:pPr>
        <w:spacing w:after="80"/>
      </w:pPr>
    </w:p>
    <w:sectPr w:rsidR="00F55D0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9333" w14:textId="77777777" w:rsidR="00DD4F89" w:rsidRDefault="00DD4F89" w:rsidP="003F0174">
      <w:pPr>
        <w:spacing w:after="0" w:line="240" w:lineRule="auto"/>
      </w:pPr>
      <w:r>
        <w:separator/>
      </w:r>
    </w:p>
  </w:endnote>
  <w:endnote w:type="continuationSeparator" w:id="0">
    <w:p w14:paraId="158C6562" w14:textId="77777777" w:rsidR="00DD4F89" w:rsidRDefault="00DD4F89" w:rsidP="003F0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2D0EF" w14:textId="77777777" w:rsidR="003F0174" w:rsidRDefault="003F01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FE868" w14:textId="77777777" w:rsidR="003F0174" w:rsidRDefault="003F017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4407" w14:textId="77777777" w:rsidR="003F0174" w:rsidRDefault="003F01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2EC00" w14:textId="77777777" w:rsidR="00DD4F89" w:rsidRDefault="00DD4F89" w:rsidP="003F0174">
      <w:pPr>
        <w:spacing w:after="0" w:line="240" w:lineRule="auto"/>
      </w:pPr>
      <w:r>
        <w:separator/>
      </w:r>
    </w:p>
  </w:footnote>
  <w:footnote w:type="continuationSeparator" w:id="0">
    <w:p w14:paraId="57680665" w14:textId="77777777" w:rsidR="00DD4F89" w:rsidRDefault="00DD4F89" w:rsidP="003F0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9B6E0" w14:textId="77777777" w:rsidR="003F0174" w:rsidRDefault="003F01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350B" w14:textId="77777777" w:rsidR="003F0174" w:rsidRDefault="003F017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7A40F" w14:textId="77777777" w:rsidR="003F0174" w:rsidRDefault="003F01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380556">
    <w:abstractNumId w:val="8"/>
  </w:num>
  <w:num w:numId="2" w16cid:durableId="1034387259">
    <w:abstractNumId w:val="6"/>
  </w:num>
  <w:num w:numId="3" w16cid:durableId="2049332388">
    <w:abstractNumId w:val="5"/>
  </w:num>
  <w:num w:numId="4" w16cid:durableId="1840464060">
    <w:abstractNumId w:val="4"/>
  </w:num>
  <w:num w:numId="5" w16cid:durableId="881480153">
    <w:abstractNumId w:val="7"/>
  </w:num>
  <w:num w:numId="6" w16cid:durableId="2005160735">
    <w:abstractNumId w:val="3"/>
  </w:num>
  <w:num w:numId="7" w16cid:durableId="337193681">
    <w:abstractNumId w:val="2"/>
  </w:num>
  <w:num w:numId="8" w16cid:durableId="1260598324">
    <w:abstractNumId w:val="1"/>
  </w:num>
  <w:num w:numId="9" w16cid:durableId="44238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BC3"/>
    <w:rsid w:val="0015074B"/>
    <w:rsid w:val="0029639D"/>
    <w:rsid w:val="00326F90"/>
    <w:rsid w:val="003F0174"/>
    <w:rsid w:val="008125FE"/>
    <w:rsid w:val="00AA1D8D"/>
    <w:rsid w:val="00B27DEA"/>
    <w:rsid w:val="00B47730"/>
    <w:rsid w:val="00CB0664"/>
    <w:rsid w:val="00DD4F89"/>
    <w:rsid w:val="00F55D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00EE512-3124-4D4D-8751-BD79FD03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D173A0-6622-4D45-B556-6E48BFA50F92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6b99c7e0-fa80-4082-a7c5-69f41739559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4108</Words>
  <Characters>21244</Characters>
  <Application>Microsoft Office Word</Application>
  <DocSecurity>0</DocSecurity>
  <Lines>708</Lines>
  <Paragraphs>603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Janine Porto Michels</cp:lastModifiedBy>
  <cp:revision>4</cp:revision>
  <cp:lastPrinted>2026-06-19T10:38:00Z</cp:lastPrinted>
  <dcterms:created xsi:type="dcterms:W3CDTF">2013-12-23T23:15:00Z</dcterms:created>
  <dcterms:modified xsi:type="dcterms:W3CDTF">2026-06-19T10:45:00Z</dcterms:modified>
  <cp:category/>
</cp:coreProperties>
</file>