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E79"/>
          <w:sz w:val="56"/>
        </w:rPr>
        <w:t>SEAFLOR 2026</w:t>
      </w:r>
    </w:p>
    <w:p>
      <w:pPr>
        <w:jc w:val="center"/>
      </w:pPr>
      <w:r>
        <w:rPr>
          <w:color w:val="2E75B6"/>
          <w:sz w:val="32"/>
        </w:rPr>
        <w:t>Roteiro da Apresentação</w:t>
      </w:r>
    </w:p>
    <w:p>
      <w:pPr>
        <w:jc w:val="center"/>
      </w:pPr>
      <w:r>
        <w:rPr>
          <w:color w:val="404040"/>
          <w:sz w:val="26"/>
        </w:rPr>
        <w:t>Comércio Exterior SC — Complexo Florestal</w:t>
      </w:r>
    </w:p>
    <w:p/>
    <w:p>
      <w:pPr>
        <w:jc w:val="center"/>
      </w:pPr>
      <w:r>
        <w:rPr>
          <w:color w:val="404040"/>
          <w:sz w:val="20"/>
        </w:rPr>
        <w:t xml:space="preserve">Semana de Aperfeiçoamento em Engenharia Florestal | </w:t>
      </w:r>
      <w:r>
        <w:rPr>
          <w:color w:val="404040"/>
          <w:sz w:val="20"/>
        </w:rPr>
        <w:t xml:space="preserve">UFPR | </w:t>
      </w:r>
      <w:r>
        <w:rPr>
          <w:color w:val="404040"/>
          <w:sz w:val="20"/>
        </w:rPr>
        <w:t>24–26 jun 2026</w:t>
      </w:r>
    </w:p>
    <w:p/>
    <w:p>
      <w:pPr>
        <w:jc w:val="center"/>
      </w:pPr>
      <w:r>
        <w:rPr>
          <w:b/>
          <w:color w:val="1F4E79"/>
          <w:sz w:val="22"/>
        </w:rPr>
        <w:t>Representação: FIESC e ACR</w:t>
      </w:r>
    </w:p>
    <w:p>
      <w:pPr>
        <w:jc w:val="center"/>
      </w:pPr>
      <w:r>
        <w:rPr>
          <w:i/>
          <w:color w:val="404040"/>
          <w:sz w:val="18"/>
        </w:rPr>
        <w:t>Fonte: ComexStat/MDIC | Observatório FIESC | Junho 2026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E79"/>
          <w:sz w:val="36"/>
        </w:rPr>
        <w:t>Fio Condutor Narrativo</w:t>
      </w:r>
    </w:p>
    <w:p>
      <w:pPr>
        <w:spacing w:before="120" w:after="120"/>
        <w:ind w:left="567"/>
      </w:pPr>
      <w:r>
        <w:rPr>
          <w:b/>
          <w:i/>
          <w:color w:val="1F4E79"/>
          <w:sz w:val="22"/>
        </w:rPr>
        <w:t>"SC tem uma das bases florestais mais produtivas do mundo. O que fazemos com isso no mercado internacional — e o que nos freia."</w:t>
      </w:r>
    </w:p>
    <w:p>
      <w:pPr>
        <w:spacing w:before="40" w:after="40"/>
      </w:pPr>
      <w:r>
        <w:rPr>
          <w:b w:val="0"/>
          <w:i w:val="0"/>
          <w:color w:val="404040"/>
          <w:sz w:val="21"/>
        </w:rPr>
        <w:t>A apresentação percorre três movimentos: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O que temos — base produtiva e expressão exportadora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Para onde vai — destinos, concentração e vulnerabilidades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O que nos ameaça — tarifas, desvio de comércio e agenda de diversificação</w:t>
      </w:r>
    </w:p>
    <w:p>
      <w:r>
        <w:br w:type="page"/>
      </w:r>
    </w:p>
    <w:p>
      <w:pPr>
        <w:spacing w:before="160" w:after="40"/>
      </w:pPr>
    </w:p>
    <w:p>
      <w:pPr>
        <w:pStyle w:val="Heading1"/>
        <w:spacing w:before="320" w:after="80"/>
      </w:pPr>
      <w:r>
        <w:rPr>
          <w:color w:val="1F4E79"/>
          <w:sz w:val="28"/>
        </w:rPr>
        <w:t>BLOCO 1 — Contexto e Importância do Setor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1</w:t>
      </w:r>
    </w:p>
    <w:p>
      <w:pPr>
        <w:spacing w:before="0" w:after="40"/>
      </w:pPr>
      <w:r>
        <w:rPr>
          <w:b/>
          <w:color w:val="1F4E79"/>
          <w:sz w:val="26"/>
        </w:rPr>
        <w:t>SC Florestal: US$ 1,86 bilhão exportados em 2025</w:t>
      </w:r>
    </w:p>
    <w:p>
      <w:pPr>
        <w:spacing w:before="120" w:after="40"/>
      </w:pPr>
      <w:r>
        <w:rPr>
          <w:b/>
          <w:color w:val="2E75B6"/>
          <w:sz w:val="20"/>
        </w:rPr>
        <w:t>Mensagem central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O complexo florestal plantado respondeu por 15,3% de todas as exportações de Santa Catarina em 2025 — mais de US$ 1,8 bilhão em produtos de alto valor agregado (madeira, móveis, celulose e produção florestal).</w:t>
      </w:r>
    </w:p>
    <w:p>
      <w:pPr>
        <w:spacing w:before="120" w:after="40"/>
      </w:pPr>
      <w:r>
        <w:rPr>
          <w:b/>
          <w:color w:val="2E75B6"/>
          <w:sz w:val="20"/>
        </w:rPr>
        <w:t>Visual sugerido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Número grande centralizado + mapa do Brasil destacando SC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5_Participacao_SC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2</w:t>
      </w:r>
    </w:p>
    <w:p>
      <w:pPr>
        <w:spacing w:before="0" w:after="40"/>
      </w:pPr>
      <w:r>
        <w:rPr>
          <w:b/>
          <w:color w:val="1F4E79"/>
          <w:sz w:val="26"/>
        </w:rPr>
        <w:t>Três segmentos, um ativo em comum: a floresta plantada</w:t>
      </w:r>
    </w:p>
    <w:p>
      <w:pPr>
        <w:spacing w:before="120" w:after="40"/>
      </w:pPr>
      <w:r>
        <w:rPr>
          <w:b/>
          <w:color w:val="2E75B6"/>
          <w:sz w:val="20"/>
        </w:rPr>
        <w:t>Tabela de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CNAE</w:t>
            </w:r>
          </w:p>
        </w:tc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Exportações 2025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Madeira e produtos de madeira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US$ 1,17 bi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Móveis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US$ 253 mi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Papel e Celulose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US$ 371 mi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Produção Florestal (base)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US$ 49 mi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TOTAL COMPLEXO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US$ 1,86 bi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Fala do orador</w:t>
      </w:r>
    </w:p>
    <w:p>
      <w:pPr>
        <w:spacing w:before="120" w:after="120"/>
        <w:ind w:left="567"/>
      </w:pPr>
      <w:r>
        <w:rPr>
          <w:b/>
          <w:i/>
          <w:color w:val="1F4E79"/>
          <w:sz w:val="22"/>
        </w:rPr>
        <w:t>"Quando falamos em floresta plantada, não estamos falando só de toras. Estamos falando de móveis nos EUA, celulose na Argentina, compensados na Europa."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1_Serie_Historica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3</w:t>
      </w:r>
    </w:p>
    <w:p>
      <w:pPr>
        <w:spacing w:before="0" w:after="40"/>
      </w:pPr>
      <w:r>
        <w:rPr>
          <w:b/>
          <w:color w:val="1F4E79"/>
          <w:sz w:val="26"/>
        </w:rPr>
        <w:t>Série histórica (2015–2025)</w:t>
      </w:r>
    </w:p>
    <w:p>
      <w:pPr>
        <w:spacing w:before="0" w:after="80"/>
      </w:pPr>
      <w:r>
        <w:rPr>
          <w:i/>
          <w:color w:val="404040"/>
          <w:sz w:val="20"/>
        </w:rPr>
        <w:t>Uma década de crescimento — com turbulências</w:t>
      </w:r>
    </w:p>
    <w:p>
      <w:pPr>
        <w:spacing w:before="120" w:after="40"/>
      </w:pPr>
      <w:r>
        <w:rPr>
          <w:b/>
          <w:color w:val="2E75B6"/>
          <w:sz w:val="20"/>
        </w:rPr>
        <w:t>Narrativa por período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2015–2019: crescimento gradual, US$ 1,06 bi → US$ 1,43 bi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2020–2022: boom pós-COVID (construção civil americana); pico em 2022: US$ 2,31 bi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2023: acomodação (-24%); mercado americano desacelera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2024–2025: estabilização em torno de US$ 1,86–1,94 bi</w:t>
      </w:r>
    </w:p>
    <w:p>
      <w:pPr>
        <w:spacing w:before="120" w:after="40"/>
      </w:pPr>
      <w:r>
        <w:rPr>
          <w:b/>
          <w:color w:val="2E75B6"/>
          <w:sz w:val="20"/>
        </w:rPr>
        <w:t>Visual sugerido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Gráfico de linha com três séries (Madeira, Móveis, Papel) + barra de saldo no fundo</w:t>
      </w:r>
    </w:p>
    <w:p>
      <w:pPr>
        <w:spacing w:before="120" w:after="40"/>
      </w:pPr>
      <w:r>
        <w:rPr>
          <w:b/>
          <w:color w:val="2E75B6"/>
          <w:sz w:val="20"/>
        </w:rPr>
        <w:t>Ponto de atenção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O pico de 2021-2022 foi excepcional. O nível atual ainda é 75% acima do pré-pandemia.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1_Serie_Historica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4</w:t>
      </w:r>
    </w:p>
    <w:p>
      <w:pPr>
        <w:spacing w:before="0" w:after="40"/>
      </w:pPr>
      <w:r>
        <w:rPr>
          <w:b/>
          <w:color w:val="1F4E79"/>
          <w:sz w:val="26"/>
        </w:rPr>
        <w:t>Saldo comercial superavitário consistente</w:t>
      </w:r>
    </w:p>
    <w:p>
      <w:pPr>
        <w:spacing w:before="0" w:after="80"/>
      </w:pPr>
      <w:r>
        <w:rPr>
          <w:i/>
          <w:color w:val="404040"/>
          <w:sz w:val="20"/>
        </w:rPr>
        <w:t>O complexo florestal SC gera mais de US$ 1,3 bi de saldo positivo todo 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Exportações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Importações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Saldo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2019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US$ 1,43 bi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US$ 264 mi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US$ 1,16 bi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2021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US$ 2,15 bi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US$ 382 mi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US$ 1,76 bi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2022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US$ 2,31 bi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US$ 322 mi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US$ 1,99 bi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2024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US$ 1,94 bi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US$ 434 mi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US$ 1,51 bi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2025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US$ 1,86 bi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US$ 478 mi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US$ 1,38 bi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Alerta</w:t>
      </w:r>
    </w:p>
    <w:p>
      <w:pPr>
        <w:spacing w:before="40" w:after="80"/>
      </w:pPr>
      <w:r>
        <w:rPr>
          <w:b w:val="0"/>
          <w:i w:val="0"/>
          <w:color w:val="C00000"/>
          <w:sz w:val="21"/>
        </w:rPr>
        <w:t>Importações cresceram +10% de 2024 para 2025, enquanto exportações caíram 4,5%. Saldo ainda positivo, mas a tendência merece monitoramento.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2_Saldo_Comercial</w:t>
      </w:r>
    </w:p>
    <w:p>
      <w:r>
        <w:br w:type="page"/>
      </w:r>
    </w:p>
    <w:p>
      <w:pPr>
        <w:spacing w:before="160" w:after="40"/>
      </w:pPr>
    </w:p>
    <w:p>
      <w:pPr>
        <w:pStyle w:val="Heading1"/>
        <w:spacing w:before="320" w:after="80"/>
      </w:pPr>
      <w:r>
        <w:rPr>
          <w:color w:val="1F4E79"/>
          <w:sz w:val="28"/>
        </w:rPr>
        <w:t>BLOCO 2 — Para onde vai: Destinos e Concentração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5</w:t>
      </w:r>
    </w:p>
    <w:p>
      <w:pPr>
        <w:spacing w:before="0" w:after="40"/>
      </w:pPr>
      <w:r>
        <w:rPr>
          <w:b/>
          <w:color w:val="1F4E79"/>
          <w:sz w:val="26"/>
        </w:rPr>
        <w:t>Top produtos exportados (2025)</w:t>
      </w:r>
    </w:p>
    <w:p>
      <w:pPr>
        <w:spacing w:before="0" w:after="80"/>
      </w:pPr>
      <w:r>
        <w:rPr>
          <w:i/>
          <w:color w:val="404040"/>
          <w:sz w:val="20"/>
        </w:rPr>
        <w:t>Madeira serrada lidera — mas o portfólio é diversificado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10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US$ FOB 2025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CNAE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Madeira serrada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US$ 368 mi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Carpintaria para construção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US$ 254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Madeira compensada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US$ 240 mi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Outros móveis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US$ 240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Madeira em forma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US$ 84 mi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MDF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US$ 81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Lenha e resíduos de madeira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US$ 44 mi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Painéis aglomerados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US$ 38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Folheados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US$ 26 mi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Fala do orador</w:t>
      </w:r>
    </w:p>
    <w:p>
      <w:pPr>
        <w:spacing w:before="120" w:after="120"/>
        <w:ind w:left="567"/>
      </w:pPr>
      <w:r>
        <w:rPr>
          <w:b/>
          <w:i/>
          <w:color w:val="1F4E79"/>
          <w:sz w:val="22"/>
        </w:rPr>
        <w:t>"O produto mais exportado — madeira serrada — vai principalmente para o mercado americano de construção civil. É aí que mora o risco."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3_Top_Produtos_2025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6</w:t>
      </w:r>
    </w:p>
    <w:p>
      <w:pPr>
        <w:spacing w:before="0" w:after="40"/>
      </w:pPr>
      <w:r>
        <w:rPr>
          <w:b/>
          <w:color w:val="1F4E79"/>
          <w:sz w:val="26"/>
        </w:rPr>
        <w:t>Destinos por segmento (2025)</w:t>
      </w:r>
    </w:p>
    <w:p>
      <w:pPr>
        <w:spacing w:before="0" w:after="80"/>
      </w:pPr>
      <w:r>
        <w:rPr>
          <w:i/>
          <w:color w:val="404040"/>
          <w:sz w:val="20"/>
        </w:rPr>
        <w:t>Três segmentos, três perfis de mercado completamente diferentes</w:t>
      </w:r>
    </w:p>
    <w:p>
      <w:pPr>
        <w:spacing w:before="120" w:after="40"/>
      </w:pPr>
      <w:r>
        <w:rPr>
          <w:b/>
          <w:color w:val="2E75B6"/>
          <w:sz w:val="20"/>
        </w:rPr>
        <w:t>Madeira (CNAE 16) — concentrada em EUA e Europa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País</w:t>
            </w:r>
          </w:p>
        </w:tc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US$ FOB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Estados Unidos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US$ 596 mi (51%)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México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US$ 98 mi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Reino Unido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US$ 58 mi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Itália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US$ 48 mi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China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US$ 45 mi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Móveis (CNAE 31) — EUA + mercados emergentes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País</w:t>
            </w:r>
          </w:p>
        </w:tc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US$ FOB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Estados Unidos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US$ 101 mi (40%)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Argentina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US$ 30 mi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Reino Unido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US$ 22 mi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Austrália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US$ 15 mi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Papel e Celulose (CNAE 17) — América Latina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País</w:t>
            </w:r>
          </w:p>
        </w:tc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US$ FOB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Argentina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US$ 102 mi (27%)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Paraguai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US$ 38 mi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Chile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US$ 29 mi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México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US$ 24 mi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Base Florestal (CNAE 2) — Portugal e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País</w:t>
            </w:r>
          </w:p>
        </w:tc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US$ FOB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Portugal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US$ 23 mi (47%)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China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US$ 21 mi (43%)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Visual sugerido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4 gráficos de barras horizontais em grade 2×2</w:t>
      </w:r>
    </w:p>
    <w:p>
      <w:pPr>
        <w:spacing w:before="120" w:after="40"/>
      </w:pPr>
      <w:r>
        <w:rPr>
          <w:b/>
          <w:color w:val="2E75B6"/>
          <w:sz w:val="20"/>
        </w:rPr>
        <w:t>Abas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7_Destinos_Categoria | 4_Top_Destinos_2025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7</w:t>
      </w:r>
    </w:p>
    <w:p>
      <w:pPr>
        <w:spacing w:before="0" w:after="40"/>
      </w:pPr>
      <w:r>
        <w:rPr>
          <w:b/>
          <w:color w:val="1F4E79"/>
          <w:sz w:val="26"/>
        </w:rPr>
        <w:t>Coeficiente de Gini: concentração de destinos</w:t>
      </w:r>
    </w:p>
    <w:p>
      <w:pPr>
        <w:spacing w:before="0" w:after="80"/>
      </w:pPr>
      <w:r>
        <w:rPr>
          <w:i/>
          <w:color w:val="404040"/>
          <w:sz w:val="20"/>
        </w:rPr>
        <w:t>Quanto mais concentrado, mais vulnerável — e todos os segmentos estão concentrados</w:t>
      </w:r>
    </w:p>
    <w:p>
      <w:pPr>
        <w:spacing w:before="120" w:after="40"/>
      </w:pPr>
      <w:r>
        <w:rPr>
          <w:b/>
          <w:color w:val="2E75B6"/>
          <w:sz w:val="20"/>
        </w:rPr>
        <w:t>O que é o Gini aqui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Mede a desigualdade na distribuição das exportações entre os países compradores.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Gini = 0: todos os países compram o mesmo valor (máxima diversificação)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Gini = 1: um único país compra tudo (máxima concentração)</w:t>
      </w:r>
    </w:p>
    <w:p>
      <w:pPr>
        <w:spacing w:before="120" w:after="40"/>
      </w:pPr>
      <w:r>
        <w:rPr>
          <w:b/>
          <w:color w:val="2E75B6"/>
          <w:sz w:val="20"/>
        </w:rPr>
        <w:t>Resultados 2024 vs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68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Gini 2024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Gini 2025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Variação</w:t>
            </w:r>
          </w:p>
        </w:tc>
        <w:tc>
          <w:tcPr>
            <w:tcW w:type="dxa" w:w="158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Nº Países</w:t>
            </w:r>
          </w:p>
        </w:tc>
      </w:tr>
      <w:tr>
        <w:tc>
          <w:tcPr>
            <w:tcW w:type="dxa" w:w="368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Base Florestal (CNAE 2)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0,9313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0,9363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color w:val="375623"/>
                <w:sz w:val="19"/>
              </w:rPr>
              <w:t>+0,005 ↑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42 → 47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Móveis (CNAE 31)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0,9056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0,8953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color w:val="C00000"/>
                <w:sz w:val="19"/>
              </w:rPr>
              <w:t>-0,010 ↓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106 → 105</w:t>
            </w:r>
          </w:p>
        </w:tc>
      </w:tr>
      <w:tr>
        <w:tc>
          <w:tcPr>
            <w:tcW w:type="dxa" w:w="368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Madeira (CNAE 16)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0,8955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0,8591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color w:val="C00000"/>
                <w:sz w:val="19"/>
              </w:rPr>
              <w:t>-0,036 ↓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131 → 126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Papel e Celulose (CNAE 17)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0,8575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0,8687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color w:val="375623"/>
                <w:sz w:val="19"/>
              </w:rPr>
              <w:t>+0,011 ↑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105 → 105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Leituras-chave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Madeira e Móveis reduziram concentração em 2025 — efeito involuntário das tarifas americanas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Base Florestal: top 5 países = 96–97% das exportações (Portugal + China dominam)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Papel e Celulose é o mais diversificado — estruturalmente mais resiliente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Todos os segmentos ainda em faixa de alta concentração (Gini &gt; 0,85)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12_Gini_Resumo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8</w:t>
      </w:r>
    </w:p>
    <w:p>
      <w:pPr>
        <w:spacing w:before="0" w:after="40"/>
      </w:pPr>
      <w:r>
        <w:rPr>
          <w:b/>
          <w:color w:val="1F4E79"/>
          <w:sz w:val="26"/>
        </w:rPr>
        <w:t>HHI complementar ao Gini</w:t>
      </w:r>
    </w:p>
    <w:p>
      <w:pPr>
        <w:spacing w:before="0" w:after="80"/>
      </w:pPr>
      <w:r>
        <w:rPr>
          <w:i/>
          <w:color w:val="404040"/>
          <w:sz w:val="20"/>
        </w:rPr>
        <w:t>O HHI confirma: Madeira avançou na diversificação, mas ainda é vulnerável</w:t>
      </w:r>
    </w:p>
    <w:p>
      <w:pPr>
        <w:spacing w:before="120" w:after="40"/>
      </w:pPr>
      <w:r>
        <w:rPr>
          <w:b/>
          <w:color w:val="2E75B6"/>
          <w:sz w:val="20"/>
        </w:rPr>
        <w:t>Referências de interpretação do HHI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HHI &gt; 2.500: mercado altamente concentrado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HHI 1.500–2.500: moderadamente concentrado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HHI &lt; 1.500: desconcentrado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158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HHI 2024</w:t>
            </w:r>
          </w:p>
        </w:tc>
        <w:tc>
          <w:tcPr>
            <w:tcW w:type="dxa" w:w="1587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HHI 2025</w:t>
            </w:r>
          </w:p>
        </w:tc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Classificação 2025</w:t>
            </w:r>
          </w:p>
        </w:tc>
      </w:tr>
      <w:tr>
        <w:tc>
          <w:tcPr>
            <w:tcW w:type="dxa" w:w="368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Base Florestal (CNAE 2)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4.082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4.068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Alta concentração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Madeira (CNAE 16)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2.695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1.929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Alta → Moderada</w:t>
            </w:r>
          </w:p>
        </w:tc>
      </w:tr>
      <w:tr>
        <w:tc>
          <w:tcPr>
            <w:tcW w:type="dxa" w:w="368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Móveis (CNAE 31)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2.362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1.877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Alta → Moderada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Papel e Celulose (CNAE 17)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1.059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1.118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Desconcentrado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Mensagem</w:t>
      </w:r>
    </w:p>
    <w:p>
      <w:pPr>
        <w:spacing w:before="120" w:after="120"/>
        <w:ind w:left="567"/>
      </w:pPr>
      <w:r>
        <w:rPr>
          <w:b/>
          <w:i/>
          <w:color w:val="1F4E79"/>
          <w:sz w:val="22"/>
        </w:rPr>
        <w:t>"As tarifas americanas de 2025 forçaram uma diversificação que políticas de décadas não conseguiram. É uma oportunidade disfarçada — se o setor souber aproveitar."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12_Gini_Resumo</w:t>
      </w:r>
    </w:p>
    <w:p>
      <w:r>
        <w:br w:type="page"/>
      </w:r>
    </w:p>
    <w:p>
      <w:pPr>
        <w:spacing w:before="160" w:after="40"/>
      </w:pPr>
    </w:p>
    <w:p>
      <w:pPr>
        <w:pStyle w:val="Heading1"/>
        <w:spacing w:before="320" w:after="80"/>
      </w:pPr>
      <w:r>
        <w:rPr>
          <w:color w:val="1F4E79"/>
          <w:sz w:val="28"/>
        </w:rPr>
        <w:t>BLOCO 3 — O que nos ameaça: Tarifas e Agenda Futura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9</w:t>
      </w:r>
    </w:p>
    <w:p>
      <w:pPr>
        <w:spacing w:before="0" w:after="40"/>
      </w:pPr>
      <w:r>
        <w:rPr>
          <w:b/>
          <w:color w:val="1F4E79"/>
          <w:sz w:val="26"/>
        </w:rPr>
        <w:t>A queda abrupta do mercado americano</w:t>
      </w:r>
    </w:p>
    <w:p>
      <w:pPr>
        <w:spacing w:before="0" w:after="80"/>
      </w:pPr>
      <w:r>
        <w:rPr>
          <w:i/>
          <w:color w:val="404040"/>
          <w:sz w:val="20"/>
        </w:rPr>
        <w:t>O 'Liberation Day' de Trump chegou nas exportações de SC</w:t>
      </w:r>
    </w:p>
    <w:p>
      <w:pPr>
        <w:spacing w:before="120" w:after="40"/>
      </w:pPr>
      <w:r>
        <w:rPr>
          <w:b/>
          <w:color w:val="2E75B6"/>
          <w:sz w:val="20"/>
        </w:rPr>
        <w:t>Linha do tempo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02/abr/2025: Trump anuncia tarifas 'recíprocas' — Brasil recebe alíquota base de 10%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Jan–Jun/2025: EUA ainda representa ~40% das exportações florestais SC (normal)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Jul–Nov/2025: share cai para 18,5% em novembro — queda de quase 22 pp</w:t>
      </w:r>
    </w:p>
    <w:p>
      <w:pPr>
        <w:spacing w:before="120" w:after="40"/>
      </w:pPr>
      <w:r>
        <w:rPr>
          <w:b/>
          <w:color w:val="2E75B6"/>
          <w:sz w:val="20"/>
        </w:rPr>
        <w:t>Evolução mensal do share EUA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Mês/2025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Share EUA</w:t>
            </w:r>
          </w:p>
        </w:tc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vs mesmo mês 2024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Janeiro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34,9%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color w:val="C00000"/>
                <w:sz w:val="19"/>
              </w:rPr>
              <w:t>-5,8 pp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Março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41,7%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color w:val="C00000"/>
                <w:sz w:val="19"/>
              </w:rPr>
              <w:t>-3,8 pp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Junho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41,0%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color w:val="375623"/>
                <w:sz w:val="19"/>
              </w:rPr>
              <w:t>+2,8 pp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Agosto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32,4%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color w:val="C00000"/>
                <w:sz w:val="19"/>
              </w:rPr>
              <w:t>-11,3 pp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Setembro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23,1%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color w:val="C00000"/>
                <w:sz w:val="19"/>
              </w:rPr>
              <w:t>-19,1 pp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Outubro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21,8%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color w:val="C00000"/>
                <w:sz w:val="19"/>
              </w:rPr>
              <w:t>-13,1 pp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Novembro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18,5%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color w:val="C00000"/>
                <w:sz w:val="19"/>
              </w:rPr>
              <w:t>-29,2 pp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Dezembro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23,0%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color w:val="C00000"/>
                <w:sz w:val="19"/>
              </w:rPr>
              <w:t>-18,6 pp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Visual sugerido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Gráfico de linha dupla (2024 vs 2025 mês a mês) com área sombreada da queda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9_Mensal_EUA_vs_Outros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10</w:t>
      </w:r>
    </w:p>
    <w:p>
      <w:pPr>
        <w:spacing w:before="0" w:after="40"/>
      </w:pPr>
      <w:r>
        <w:rPr>
          <w:b/>
          <w:color w:val="1F4E79"/>
          <w:sz w:val="26"/>
        </w:rPr>
        <w:t>Quantificando a perda: análise contrafactual</w:t>
      </w:r>
    </w:p>
    <w:p>
      <w:pPr>
        <w:spacing w:before="0" w:after="80"/>
      </w:pPr>
      <w:r>
        <w:rPr>
          <w:i/>
          <w:color w:val="404040"/>
          <w:sz w:val="20"/>
        </w:rPr>
        <w:t>Estimativa de perda: US$ 124 milhões no segundo semestre de 2025</w:t>
      </w:r>
    </w:p>
    <w:p>
      <w:pPr>
        <w:spacing w:before="120" w:after="40"/>
      </w:pPr>
      <w:r>
        <w:rPr>
          <w:b/>
          <w:color w:val="2E75B6"/>
          <w:sz w:val="20"/>
        </w:rPr>
        <w:t>Metodologia (Event Study / Contrafactual)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Baseline: share dos EUA no H2/2024 = 40,7%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Total exportado florestal SC no H2/2025 = US$ 869 mi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Exportação esperada para EUA (se baseline mantido): US$ 354 mi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Exportação real para EUA no H2/2025: US$ 230 mi</w:t>
      </w:r>
    </w:p>
    <w:p>
      <w:pPr>
        <w:pStyle w:val="ListBullet"/>
        <w:spacing w:before="20" w:after="20"/>
        <w:ind w:left="567"/>
      </w:pPr>
      <w:r>
        <w:rPr>
          <w:color w:val="404040"/>
          <w:sz w:val="20"/>
        </w:rPr>
        <w:t>Diferença (perda estimada): US$ 124 mi</w:t>
      </w:r>
    </w:p>
    <w:p>
      <w:pPr>
        <w:spacing w:before="120" w:after="40"/>
      </w:pPr>
      <w:r>
        <w:rPr>
          <w:b/>
          <w:color w:val="2E75B6"/>
          <w:sz w:val="20"/>
        </w:rPr>
        <w:t>Produtos mais afetados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Queda EUA 2024→2025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Carpintaria para construção</w:t>
            </w:r>
          </w:p>
        </w:tc>
        <w:tc>
          <w:tcPr>
            <w:tcW w:type="dxa" w:w="3402"/>
            <w:shd w:val="clear" w:color="auto" w:fill="DEEAF1"/>
          </w:tcPr>
          <w:p>
            <w:pPr>
              <w:jc w:val="center"/>
            </w:pPr>
            <w:r>
              <w:rPr>
                <w:color w:val="C00000"/>
                <w:sz w:val="19"/>
              </w:rPr>
              <w:t>-US$ 80 mi (-28%)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Madeira em forma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color w:val="C00000"/>
                <w:sz w:val="19"/>
              </w:rPr>
              <w:t>-US$ 45 mi (-36%)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Madeira compensada</w:t>
            </w:r>
          </w:p>
        </w:tc>
        <w:tc>
          <w:tcPr>
            <w:tcW w:type="dxa" w:w="3402"/>
            <w:shd w:val="clear" w:color="auto" w:fill="DEEAF1"/>
          </w:tcPr>
          <w:p>
            <w:pPr>
              <w:jc w:val="center"/>
            </w:pPr>
            <w:r>
              <w:rPr>
                <w:color w:val="C00000"/>
                <w:sz w:val="19"/>
              </w:rPr>
              <w:t>-US$ 15 mi (-16%)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Móveis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color w:val="C00000"/>
                <w:sz w:val="19"/>
              </w:rPr>
              <w:t>-US$ 14 mi (-12%)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10_Queda_Produtos_EUA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11</w:t>
      </w:r>
    </w:p>
    <w:p>
      <w:pPr>
        <w:spacing w:before="0" w:after="40"/>
      </w:pPr>
      <w:r>
        <w:rPr>
          <w:b/>
          <w:color w:val="1F4E79"/>
          <w:sz w:val="26"/>
        </w:rPr>
        <w:t>Desvio de comércio: quem ganhou o que os EUA perderam</w:t>
      </w:r>
    </w:p>
    <w:p>
      <w:pPr>
        <w:spacing w:before="0" w:after="80"/>
      </w:pPr>
      <w:r>
        <w:rPr>
          <w:i/>
          <w:color w:val="404040"/>
          <w:sz w:val="20"/>
        </w:rPr>
        <w:t>Parte do comércio foi desviada — mas só parte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De US$ 124 mi perdidos nos EUA no H2/2025, outros mercados absorveram ~US$ 70 mi: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País (ganhou share)</w:t>
            </w:r>
          </w:p>
        </w:tc>
        <w:tc>
          <w:tcPr>
            <w:tcW w:type="dxa" w:w="396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Crescimento H1→H2 2025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México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center"/>
            </w:pPr>
            <w:r>
              <w:rPr>
                <w:color w:val="375623"/>
                <w:sz w:val="19"/>
              </w:rPr>
              <w:t>+US$ 22 mi (+44%)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África do Sul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color w:val="375623"/>
                <w:sz w:val="19"/>
              </w:rPr>
              <w:t>+US$ 9 mi (+150%)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Índia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center"/>
            </w:pPr>
            <w:r>
              <w:rPr>
                <w:color w:val="375623"/>
                <w:sz w:val="19"/>
              </w:rPr>
              <w:t>+US$ 8 mi (+76%)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Espanha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color w:val="375623"/>
                <w:sz w:val="19"/>
              </w:rPr>
              <w:t>+US$ 7 mi (+51%)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Emirados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center"/>
            </w:pPr>
            <w:r>
              <w:rPr>
                <w:color w:val="375623"/>
                <w:sz w:val="19"/>
              </w:rPr>
              <w:t>+US$ 7 mi (+44%)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Paraguai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color w:val="375623"/>
                <w:sz w:val="19"/>
              </w:rPr>
              <w:t>+US$ 6 mi (+28%)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Marrocos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center"/>
            </w:pPr>
            <w:r>
              <w:rPr>
                <w:color w:val="375623"/>
                <w:sz w:val="19"/>
              </w:rPr>
              <w:t>+US$ 4 mi (+95%)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Saldo do desvio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Recuperado via outros mercados: ~US$ 70 mi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Destruição de comércio (não realizado): ~US$ 54 mi</w:t>
      </w:r>
    </w:p>
    <w:p>
      <w:pPr>
        <w:spacing w:before="120" w:after="40"/>
      </w:pPr>
      <w:r>
        <w:rPr>
          <w:b/>
          <w:color w:val="2E75B6"/>
          <w:sz w:val="20"/>
        </w:rPr>
        <w:t>Mensagem</w:t>
      </w:r>
    </w:p>
    <w:p>
      <w:pPr>
        <w:spacing w:before="120" w:after="120"/>
        <w:ind w:left="567"/>
      </w:pPr>
      <w:r>
        <w:rPr>
          <w:b/>
          <w:i/>
          <w:color w:val="1F4E79"/>
          <w:sz w:val="22"/>
        </w:rPr>
        <w:t>"O mercado respondeu. Mas não foi suficiente para compensar. Diversificação planejada com antecedência teria mitigado a perda."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11_Desvio_Comercio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12</w:t>
      </w:r>
    </w:p>
    <w:p>
      <w:pPr>
        <w:spacing w:before="0" w:after="40"/>
      </w:pPr>
      <w:r>
        <w:rPr>
          <w:b/>
          <w:color w:val="1F4E79"/>
          <w:sz w:val="26"/>
        </w:rPr>
        <w:t>Concentração histórica nos EUA: uma vulnerabilidade conhecida</w:t>
      </w:r>
    </w:p>
    <w:p>
      <w:pPr>
        <w:spacing w:before="0" w:after="80"/>
      </w:pPr>
      <w:r>
        <w:rPr>
          <w:i/>
          <w:color w:val="404040"/>
          <w:sz w:val="20"/>
        </w:rPr>
        <w:t>A dependência dos EUA vinha crescendo desde 2015 — até 2025 forçar a mudança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Share EUA nas exp. florestais SC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2015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36,4%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2017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39,0%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2019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42,7%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2020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47,4%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2021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50,0% (pico)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2023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40,9%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2024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40,9%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2025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33,3%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Fala do orador</w:t>
      </w:r>
    </w:p>
    <w:p>
      <w:pPr>
        <w:spacing w:before="120" w:after="120"/>
        <w:ind w:left="567"/>
      </w:pPr>
      <w:r>
        <w:rPr>
          <w:b/>
          <w:i/>
          <w:color w:val="1F4E79"/>
          <w:sz w:val="22"/>
        </w:rPr>
        <w:t>"Em 2021, metade de tudo que SC exportava em florestal ia para um único país. Isso nunca foi uma estratégia — foi uma consequência do boom da construção civil americana. As tarifas de 2025 forçaram uma correção que o mercado deveria ter feito antes."</w:t>
      </w:r>
    </w:p>
    <w:p>
      <w:pPr>
        <w:spacing w:before="120" w:after="40"/>
      </w:pPr>
      <w:r>
        <w:rPr>
          <w:b/>
          <w:color w:val="2E75B6"/>
          <w:sz w:val="20"/>
        </w:rPr>
        <w:t>Aba de referência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8_Concentracao_EUA</w:t>
      </w:r>
    </w:p>
    <w:p>
      <w:r>
        <w:br w:type="page"/>
      </w:r>
    </w:p>
    <w:p>
      <w:pPr>
        <w:spacing w:before="160" w:after="40"/>
      </w:pPr>
    </w:p>
    <w:p>
      <w:pPr>
        <w:pStyle w:val="Heading1"/>
        <w:spacing w:before="320" w:after="80"/>
      </w:pPr>
      <w:r>
        <w:rPr>
          <w:color w:val="1F4E79"/>
          <w:sz w:val="28"/>
        </w:rPr>
        <w:t>BLOCO 4 — Agenda e Conexão com Inovação (tema SEAFLOR)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13</w:t>
      </w:r>
    </w:p>
    <w:p>
      <w:pPr>
        <w:spacing w:before="0" w:after="40"/>
      </w:pPr>
      <w:r>
        <w:rPr>
          <w:b/>
          <w:color w:val="1F4E79"/>
          <w:sz w:val="26"/>
        </w:rPr>
        <w:t>O que a inovação já entregou para estes números</w:t>
      </w:r>
    </w:p>
    <w:p>
      <w:pPr>
        <w:spacing w:before="0" w:after="80"/>
      </w:pPr>
      <w:r>
        <w:rPr>
          <w:i/>
          <w:color w:val="404040"/>
          <w:sz w:val="20"/>
        </w:rPr>
        <w:t>Por trás dos US$ 1,86 bi estão décadas de P&amp;D florestal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Inovação</w:t>
            </w:r>
          </w:p>
        </w:tc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Impacto nos números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Melhoramento genético (IMA Pinus/Eucalyptus)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Madeira de maior qualidade → preço médio mais alto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Manejo de precisão (sensoriamento remoto, drones)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Redução de custo → margem para competir em preços pressionados por tarifa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MDF e painéis (transformação industrial)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Diversificação de produtos além da tora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Certificações FSC/PEFC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Acesso a mercados europeus e americanos exigentes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CLT e construção em madeira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Próxima onda de exportação — mercado crescente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14</w:t>
      </w:r>
    </w:p>
    <w:p>
      <w:pPr>
        <w:spacing w:before="0" w:after="40"/>
      </w:pPr>
      <w:r>
        <w:rPr>
          <w:b/>
          <w:color w:val="1F4E79"/>
          <w:sz w:val="26"/>
        </w:rPr>
        <w:t>Agenda estratégica: o que os dados sugerem</w:t>
      </w:r>
    </w:p>
    <w:p>
      <w:pPr>
        <w:spacing w:before="0" w:after="80"/>
      </w:pPr>
      <w:r>
        <w:rPr>
          <w:i/>
          <w:color w:val="404040"/>
          <w:sz w:val="20"/>
        </w:rPr>
        <w:t>Três prioridades para o complexo florestal SC</w:t>
      </w:r>
    </w:p>
    <w:p>
      <w:pPr>
        <w:spacing w:before="120" w:after="40"/>
      </w:pPr>
      <w:r>
        <w:rPr>
          <w:b/>
          <w:color w:val="2E75B6"/>
          <w:sz w:val="20"/>
        </w:rPr>
        <w:t>1. Diversificação ativa de destinos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Base Florestal: Gini 0,94 — dois países concentram 90% das exportações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Oportunidades: Índia (+76%), Marrocos (+95%), África do Sul (+150%) no H2/2025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Ação: missões comerciais e prospecção ativa nos mercados emergentes</w:t>
      </w:r>
    </w:p>
    <w:p>
      <w:pPr>
        <w:spacing w:before="120" w:after="40"/>
      </w:pPr>
      <w:r>
        <w:rPr>
          <w:b/>
          <w:color w:val="2E75B6"/>
          <w:sz w:val="20"/>
        </w:rPr>
        <w:t>2. Adensamento tecnológico da cadeia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Madeira serrada (US$ 368 mi) tem menor valor agregado que carpintaria (US$ 254 mi)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Cada degrau na cadeia (tora → serrada → compensado → produto acabado) multiplica valor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Ação: incentivos para processamento local antes da exportação</w:t>
      </w:r>
    </w:p>
    <w:p>
      <w:pPr>
        <w:spacing w:before="120" w:after="40"/>
      </w:pPr>
      <w:r>
        <w:rPr>
          <w:b/>
          <w:color w:val="2E75B6"/>
          <w:sz w:val="20"/>
        </w:rPr>
        <w:t>3. Monitoramento do risco tarifário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Tarifas de 10% sobre produtos brasileiros nos EUA seguem vigentes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Próxima rodada de negociações pode elevar ou reduzir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Ação: mapeamento produto × alíquota HTS para cenários</w:t>
      </w:r>
    </w:p>
    <w:p>
      <w:pPr>
        <w:spacing w:before="40" w:after="40"/>
      </w:pPr>
      <w:r>
        <w:rPr>
          <w:color w:val="2E75B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0"/>
      </w:pPr>
      <w:r>
        <w:rPr>
          <w:b/>
          <w:color w:val="2E75B6"/>
          <w:sz w:val="18"/>
        </w:rPr>
        <w:t>SLIDE 15</w:t>
      </w:r>
    </w:p>
    <w:p>
      <w:pPr>
        <w:spacing w:before="0" w:after="40"/>
      </w:pPr>
      <w:r>
        <w:rPr>
          <w:b/>
          <w:color w:val="1F4E79"/>
          <w:sz w:val="26"/>
        </w:rPr>
        <w:t>Fechamento</w:t>
      </w:r>
    </w:p>
    <w:p>
      <w:pPr>
        <w:spacing w:before="0" w:after="80"/>
      </w:pPr>
      <w:r>
        <w:rPr>
          <w:i/>
          <w:color w:val="404040"/>
          <w:sz w:val="20"/>
        </w:rPr>
        <w:t>SC tem a floresta. O desafio é ampliar para quem vende.</w:t>
      </w:r>
    </w:p>
    <w:p>
      <w:pPr>
        <w:spacing w:before="120" w:after="40"/>
      </w:pPr>
      <w:r>
        <w:rPr>
          <w:b/>
          <w:color w:val="2E75B6"/>
          <w:sz w:val="20"/>
        </w:rPr>
        <w:t>Três números para levar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9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368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Exportações 2025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US$ 1,86 bi</w:t>
            </w:r>
          </w:p>
        </w:tc>
        <w:tc>
          <w:tcPr>
            <w:tcW w:type="dxa" w:w="340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15% do total exportado por SC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Gini médio dos segmentos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0,86 – 0,94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Todos com alta concentração de destinos</w:t>
            </w:r>
          </w:p>
        </w:tc>
      </w:tr>
      <w:tr>
        <w:tc>
          <w:tcPr>
            <w:tcW w:type="dxa" w:w="3685"/>
            <w:shd w:val="clear" w:color="auto" w:fill="DEEAF1"/>
          </w:tcPr>
          <w:p>
            <w:pPr>
              <w:jc w:val="left"/>
            </w:pPr>
            <w:r>
              <w:rPr>
                <w:sz w:val="19"/>
              </w:rPr>
              <w:t>Custo estimado das tarifas (H2/2025)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US$ 124 mi</w:t>
            </w:r>
          </w:p>
        </w:tc>
        <w:tc>
          <w:tcPr>
            <w:tcW w:type="dxa" w:w="3402"/>
            <w:shd w:val="clear" w:color="auto" w:fill="DEEAF1"/>
          </w:tcPr>
          <w:p>
            <w:pPr>
              <w:jc w:val="center"/>
            </w:pPr>
            <w:r>
              <w:rPr>
                <w:sz w:val="19"/>
              </w:rPr>
              <w:t>Perda vs. baseline 2024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75B6"/>
          <w:sz w:val="20"/>
        </w:rPr>
        <w:t>Chamada para ação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Inovação florestal sem inteligência de mercado deixa valor na mesa. O Observatório FIESC está disponível para apoiar empresas e entidades do setor com dados atualizados e análises de comércio exterior.</w:t>
      </w:r>
    </w:p>
    <w:p>
      <w:pPr>
        <w:spacing w:before="40" w:after="80"/>
      </w:pPr>
      <w:r>
        <w:rPr>
          <w:b/>
          <w:i w:val="0"/>
          <w:color w:val="1F4E79"/>
          <w:sz w:val="21"/>
        </w:rPr>
        <w:t>obs.fiesc.com.br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E79"/>
          <w:sz w:val="36"/>
        </w:rPr>
        <w:t>Apêndice — Metodologia e Fontes</w:t>
      </w:r>
    </w:p>
    <w:p>
      <w:pPr>
        <w:pStyle w:val="Heading2"/>
        <w:spacing w:before="160" w:after="80"/>
      </w:pPr>
      <w:r>
        <w:rPr>
          <w:color w:val="2E75B6"/>
          <w:sz w:val="28"/>
        </w:rPr>
        <w:t>Dados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Fonte primária: ComexStat / MDIC — balanca.economia.gov.br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Cobertura: Exportações e importações de SC por NCM, 2015–2025 (ano completo)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Categorização setorial: Dicionário SC Competitiva — Observatório FIESC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Processamento: Pipeline local Bronze → Gold → Datamarts (DuckDB + Python)</w:t>
      </w:r>
    </w:p>
    <w:p>
      <w:pPr>
        <w:pStyle w:val="Heading2"/>
        <w:spacing w:before="160" w:after="80"/>
      </w:pPr>
      <w:r>
        <w:rPr>
          <w:color w:val="2E75B6"/>
          <w:sz w:val="28"/>
        </w:rPr>
        <w:t>Gini de concentração de destinos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Unidade de análise: Valor FOB exportado por país comprador, por ano e segmento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Fórmula: G = (2 × Σ(i × yᵢ)) / (n × Σyᵢ) − (n+1)/n  |  yᵢ ordenado crescente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HHI: Σ(sᵢ²) × 10.000  |  sᵢ = share de cada país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Interpretação: G → 0 = diversificado; G → 1 = concentrado</w:t>
      </w:r>
    </w:p>
    <w:p>
      <w:pPr>
        <w:pStyle w:val="Heading2"/>
        <w:spacing w:before="160" w:after="80"/>
      </w:pPr>
      <w:r>
        <w:rPr>
          <w:color w:val="2E75B6"/>
          <w:sz w:val="28"/>
        </w:rPr>
        <w:t>Análise de impacto tarifário (Event Study / Contrafactual)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Baseline: share médio dos EUA no H2/2024 = 40,7%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Contrafactual: aplicação do baseline sobre o volume total exportado no H2/2025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Limitações: não controla por variações de câmbio, demanda do mercado americano e outros fatores simultâneos — estimativa de ordem de grandeza, não causal estrita</w:t>
      </w:r>
    </w:p>
    <w:p>
      <w:pPr>
        <w:pStyle w:val="Heading2"/>
        <w:spacing w:before="160" w:after="80"/>
      </w:pPr>
      <w:r>
        <w:rPr>
          <w:color w:val="2E75B6"/>
          <w:sz w:val="28"/>
        </w:rPr>
        <w:t>Desvio de comércio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Método: comparação simples H1/2025 vs H2/2025 por país de destino</w:t>
      </w:r>
    </w:p>
    <w:p>
      <w:pPr>
        <w:pStyle w:val="ListBullet"/>
        <w:spacing w:before="20" w:after="20"/>
        <w:ind w:left="283"/>
      </w:pPr>
      <w:r>
        <w:rPr>
          <w:color w:val="404040"/>
          <w:sz w:val="20"/>
        </w:rPr>
        <w:t>Pressuposto: H1/2025 ≈ período pré-efeito pleno das tarifas (anúncio em abril, impacto nas remessas a partir de julho/agosto)</w:t>
      </w:r>
    </w:p>
    <w:p>
      <w:pPr>
        <w:pStyle w:val="Heading2"/>
        <w:spacing w:before="160" w:after="80"/>
      </w:pPr>
      <w:r>
        <w:rPr>
          <w:color w:val="2E75B6"/>
          <w:sz w:val="28"/>
        </w:rPr>
        <w:t>Arquivo de dados</w:t>
      </w:r>
    </w:p>
    <w:p>
      <w:pPr>
        <w:spacing w:before="40" w:after="80"/>
      </w:pPr>
      <w:r>
        <w:rPr>
          <w:b w:val="0"/>
          <w:i w:val="0"/>
          <w:color w:val="404040"/>
          <w:sz w:val="21"/>
        </w:rPr>
        <w:t>SEAFLOR_2026_Comex_SC_Florestal.xlsx — 15 abas</w:t>
      </w:r>
    </w:p>
    <w:p>
      <w:pPr>
        <w:spacing w:before="40" w:after="80"/>
      </w:pPr>
      <w:r>
        <w:rPr>
          <w:b w:val="0"/>
          <w:i/>
          <w:color w:val="404040"/>
          <w:sz w:val="21"/>
        </w:rPr>
        <w:t>Roteiro gerado em: junho 2026 | Observatório FIESC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