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404040"/>
          <w:sz w:val="18"/>
        </w:rPr>
        <w:t>OBSERVATÓRIO FIESC | NOTA TÉCNICA</w:t>
      </w:r>
    </w:p>
    <w:p>
      <w:pPr>
        <w:spacing w:before="80" w:after="80"/>
        <w:jc w:val="center"/>
      </w:pPr>
      <w:r>
        <w:rPr>
          <w:rFonts w:ascii="Calibri" w:hAnsi="Calibri"/>
          <w:b/>
          <w:i w:val="0"/>
          <w:color w:val="1F4E79"/>
          <w:sz w:val="32"/>
        </w:rPr>
        <w:t>Impacto das Tarifas Estadunidenses sobre o Complexo Florestal Catarinense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2E75B6"/>
          <w:sz w:val="24"/>
        </w:rPr>
        <w:t>Estimativa de Perda de Receita de Exportação | Jan–Mai 2025 vs Jan–Mai 2026</w:t>
      </w:r>
    </w:p>
    <w:p>
      <w:pPr>
        <w:spacing w:before="0" w:after="240"/>
        <w:jc w:val="center"/>
      </w:pPr>
      <w:r>
        <w:rPr>
          <w:rFonts w:ascii="Calibri" w:hAnsi="Calibri"/>
          <w:b w:val="0"/>
          <w:i w:val="0"/>
          <w:color w:val="404040"/>
          <w:sz w:val="20"/>
        </w:rPr>
        <w:t>Junho de 2026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1. Contexto e Desenho do Choque Tarifário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Em 2 de abril de 2025 — denominado "Liberation Day" pelo governo Trump —, os Estados Unidos promulgaram uma tarifa universal de 10% sobre todas as importações, acrescida de alíquotas recíprocas diferenciadas por país de origem. Para o Brasil, a alíquota resultante fixou-se em 10%, equivalente ao piso da medida. Em 9 de abril, uma suspensão de 90 dias foi concedida aos países não atingidos pelas tarifas mais elevadas, preservando, contudo, os 10% adicionais sobre bens brasileiros. Esse percentual incide sobre o valor FOB da mercadoria, sobrepondo-se às alíquotas preexistentes do Harmonized Tariff Schedule (HTS).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Adicionalmente, o Departamento de Comércio dos EUA mantém ordens de antidumping (ADD) e direitos compensatórios (CVD) sobre compensados de madeira dura (hardwood plywood) originários do Brasil, vigentes desde 2020, com alíquotas que variam por empresa exportadora. Esses instrumentos pré-existentes amplificaram o efeito tarifário sobre parcela do portfólio catarinense de madeira.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2. Produtos Tarifados e Exposição Setorial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O complexo florestal catarinense exporta primordialmente nos capítulos 44 (madeira e obras de madeira), 47/48 (celulose e papel) e 94 (móveis e assentos) da NCM. A tabela abaixo sistematiza a estrutura tarifária e a exposição de cada atividade ao mercado estadunidense no período pré-choque (2024):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Atividade (CNAE)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Cap. NCM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Alíquota MFN prévia (EUA)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Tarifa adicional 2025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Share EUA nas EXP (2024)</w:t>
            </w:r>
          </w:p>
        </w:tc>
      </w:tr>
      <w:tr>
        <w:tc>
          <w:tcPr>
            <w:tcW w:type="dxa" w:w="3118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Madeira serrada, compensados, painéis (16)</w:t>
            </w:r>
          </w:p>
        </w:tc>
        <w:tc>
          <w:tcPr>
            <w:tcW w:type="dxa" w:w="124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Cap. 44</w:t>
            </w:r>
          </w:p>
        </w:tc>
        <w:tc>
          <w:tcPr>
            <w:tcW w:type="dxa" w:w="181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0–8%</w:t>
            </w:r>
          </w:p>
        </w:tc>
        <w:tc>
          <w:tcPr>
            <w:tcW w:type="dxa" w:w="181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+10%</w:t>
            </w:r>
          </w:p>
        </w:tc>
        <w:tc>
          <w:tcPr>
            <w:tcW w:type="dxa" w:w="198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~38%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Móveis e componentes (31)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Cap. 94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+10%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~45%</w:t>
            </w:r>
          </w:p>
        </w:tc>
      </w:tr>
      <w:tr>
        <w:tc>
          <w:tcPr>
            <w:tcW w:type="dxa" w:w="3118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Celulose e papel (17)</w:t>
            </w:r>
          </w:p>
        </w:tc>
        <w:tc>
          <w:tcPr>
            <w:tcW w:type="dxa" w:w="124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Cap. 47/48</w:t>
            </w:r>
          </w:p>
        </w:tc>
        <w:tc>
          <w:tcPr>
            <w:tcW w:type="dxa" w:w="181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0%</w:t>
            </w:r>
          </w:p>
        </w:tc>
        <w:tc>
          <w:tcPr>
            <w:tcW w:type="dxa" w:w="181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+10%</w:t>
            </w:r>
          </w:p>
        </w:tc>
        <w:tc>
          <w:tcPr>
            <w:tcW w:type="dxa" w:w="198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~22%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florestal — toras, lenha (2)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Cap. 44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0–3%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+10%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~18%</w:t>
            </w:r>
          </w:p>
        </w:tc>
      </w:tr>
    </w:tbl>
    <w:p/>
    <w:p>
      <w:pPr>
        <w:spacing w:before="40" w:after="40"/>
        <w:jc w:val="left"/>
      </w:pPr>
      <w:r>
        <w:rPr>
          <w:rFonts w:ascii="Calibri" w:hAnsi="Calibri"/>
          <w:b w:val="0"/>
          <w:i/>
          <w:color w:val="404040"/>
          <w:sz w:val="16"/>
        </w:rPr>
        <w:t>¹ Alíquotas MFN: USITC HTS 2025. Share EUA calculado sobre exportações SC 2024 (ComexStat/MDIC).</w:t>
      </w:r>
    </w:p>
    <w:p>
      <w:pPr>
        <w:spacing w:before="0" w:after="160"/>
        <w:jc w:val="both"/>
      </w:pPr>
      <w:r>
        <w:rPr>
          <w:rFonts w:ascii="Calibri" w:hAnsi="Calibri"/>
          <w:b w:val="0"/>
          <w:i w:val="0"/>
          <w:sz w:val="20"/>
        </w:rPr>
        <w:t>O segmento de móveis (CNAE 31) apresenta a maior vulnerabilidade estrutural: a alíquota MFN prévia era nula, de modo que os 10% adicionais constituíram uma barreira de entrada inteiramente nova sobre um mercado que absorvia, em 2024, cerca de 45% das exportações do segmento. Em madeira serrada e painéis, a tarifa de 10% incidiu sobre alíquotas preexistentes de até 8%, elevando o custo total de acesso ao mercado estadunidense para patamares entre 10–18%, conforme a subposição NCM. O prêmio de preço do mercado estadunidense — razão pela qual as empresas catarinenses priorizavam esse destino — gerou um efeito de seleção adversa: os produtos de maior valor unitário são os que mais perderam competitividade.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3. Metodologia de Estimação das Perdas de Receita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2E75B6"/>
          <w:sz w:val="22"/>
        </w:rPr>
        <w:t>3.1 Decomposição do impacto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A perda total de receita de exportação é decomposta em três componentes aditivos, seguindo a estrutura analítica proposta por Viner (1950) e adaptada para análise de choques tarifários em economias exportadoras: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4252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Conceito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Fórmula</w:t>
            </w:r>
          </w:p>
        </w:tc>
      </w:tr>
      <w:tr>
        <w:tc>
          <w:tcPr>
            <w:tcW w:type="dxa" w:w="2268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I. Destruição bruta de comércio</w:t>
            </w:r>
          </w:p>
        </w:tc>
        <w:tc>
          <w:tcPr>
            <w:tcW w:type="dxa" w:w="4252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Variação absoluta das exportações para os EUA entre Jan–Mai 2025 e Jan–Mai 2026</w:t>
            </w:r>
          </w:p>
        </w:tc>
        <w:tc>
          <w:tcPr>
            <w:tcW w:type="dxa" w:w="283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Δ EXP_EUA = EXP_EUA₂₅ − EXP_EUA₂₆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II. Desvio de comércio (ganho)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Incremento das exportações para terceiros mercados no mesmo período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Δ EXP_outros = EXP_outros₂₆ − EXP_outros₂₅</w:t>
            </w:r>
          </w:p>
        </w:tc>
      </w:tr>
      <w:tr>
        <w:tc>
          <w:tcPr>
            <w:tcW w:type="dxa" w:w="2268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III. Destruição líquida de comércio</w:t>
            </w:r>
          </w:p>
        </w:tc>
        <w:tc>
          <w:tcPr>
            <w:tcW w:type="dxa" w:w="4252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Parcela da destruição bruta não compensada pelo desvio — perda real de divisas</w:t>
            </w:r>
          </w:p>
        </w:tc>
        <w:tc>
          <w:tcPr>
            <w:tcW w:type="dxa" w:w="283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 − II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IV. Efeito-preço (custo da diversificação)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O mercado estadunidense pagava prêmio de preço vs. outros mercados (USD/kg). O volume desviado foi vendido a preços inferiores.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ΔVol_desviado (kg) × Prêmio EUA (USD/kg)</w:t>
            </w:r>
          </w:p>
        </w:tc>
      </w:tr>
      <w:tr>
        <w:tc>
          <w:tcPr>
            <w:tcW w:type="dxa" w:w="2268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Perda total estimada</w:t>
            </w:r>
          </w:p>
        </w:tc>
        <w:tc>
          <w:tcPr>
            <w:tcW w:type="dxa" w:w="4252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Perda de receita associada ao choque tarifário</w:t>
            </w:r>
          </w:p>
        </w:tc>
        <w:tc>
          <w:tcPr>
            <w:tcW w:type="dxa" w:w="283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III + IV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2E75B6"/>
          <w:sz w:val="22"/>
        </w:rPr>
        <w:t>3.2 Cenários contrafactuais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Para estimar a receita foregone — o quanto se teria exportado para os EUA na ausência do choque tarifário —, adotam-se três cenários de baseline, aplicados ao volume total exportado pelo complexo em Jan–Mai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Cenário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Share utilizado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1417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 — Conservador</w:t>
            </w:r>
          </w:p>
        </w:tc>
        <w:tc>
          <w:tcPr>
            <w:tcW w:type="dxa" w:w="283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Share EUA em Jan–Mai 2025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39,2%</w:t>
            </w:r>
          </w:p>
        </w:tc>
        <w:tc>
          <w:tcPr>
            <w:tcW w:type="dxa" w:w="3402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Subestima se 2025 já refletia antecipação tarifária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 — Base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Share EUA no ano fechado de 2024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41,0%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Referência estrutural pré-choque</w:t>
            </w:r>
          </w:p>
        </w:tc>
      </w:tr>
      <w:tr>
        <w:tc>
          <w:tcPr>
            <w:tcW w:type="dxa" w:w="1417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 — Estrutural</w:t>
            </w:r>
          </w:p>
        </w:tc>
        <w:tc>
          <w:tcPr>
            <w:tcW w:type="dxa" w:w="283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Share EUA no ano fechado de 2023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41,1%</w:t>
            </w:r>
          </w:p>
        </w:tc>
        <w:tc>
          <w:tcPr>
            <w:tcW w:type="dxa" w:w="3402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Confirma estabilidade histórica do share antes da ameaça tarifária</w:t>
            </w:r>
          </w:p>
        </w:tc>
      </w:tr>
    </w:tbl>
    <w:p/>
    <w:p>
      <w:pPr>
        <w:spacing w:before="40" w:after="40"/>
        <w:jc w:val="left"/>
      </w:pPr>
      <w:r>
        <w:rPr>
          <w:rFonts w:ascii="Calibri" w:hAnsi="Calibri"/>
          <w:b w:val="0"/>
          <w:i/>
          <w:color w:val="404040"/>
          <w:sz w:val="16"/>
        </w:rPr>
        <w:t>Nota: o contrafactual aplica o share histórico ao total exportado observado em 2026. Não corrige o total pelo possível efeito renda da tarifa sobre a demanda agregada.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4. Destruição e Desvio de Comércio — Resultados Empíricos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2E75B6"/>
          <w:sz w:val="22"/>
        </w:rPr>
        <w:t>4.1 Complexo Florestal — decomposição agregada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0"/>
        </w:rPr>
        <w:t xml:space="preserve">Entre janeiro e maio de 2026, as exportações do Complexo Florestal catarinense para os Estados Unidos somaram </w:t>
      </w:r>
      <w:r>
        <w:rPr>
          <w:rFonts w:ascii="Calibri" w:hAnsi="Calibri"/>
          <w:b/>
          <w:i w:val="0"/>
          <w:color w:val="1F4E79"/>
          <w:sz w:val="20"/>
        </w:rPr>
        <w:t>US$ 174,4 milhões</w:t>
      </w:r>
      <w:r>
        <w:rPr>
          <w:rFonts w:ascii="Calibri" w:hAnsi="Calibri"/>
          <w:b w:val="0"/>
          <w:i w:val="0"/>
          <w:sz w:val="20"/>
        </w:rPr>
        <w:t xml:space="preserve">, ante </w:t>
      </w:r>
      <w:r>
        <w:rPr>
          <w:rFonts w:ascii="Calibri" w:hAnsi="Calibri"/>
          <w:b/>
          <w:i w:val="0"/>
          <w:color w:val="1F4E79"/>
          <w:sz w:val="20"/>
        </w:rPr>
        <w:t>US$ 322,2 milhões</w:t>
      </w:r>
      <w:r>
        <w:rPr>
          <w:rFonts w:ascii="Calibri" w:hAnsi="Calibri"/>
          <w:b w:val="0"/>
          <w:i w:val="0"/>
          <w:sz w:val="20"/>
        </w:rPr>
        <w:t xml:space="preserve"> no mesmo período de 2025 — retração de </w:t>
      </w:r>
      <w:r>
        <w:rPr>
          <w:rFonts w:ascii="Calibri" w:hAnsi="Calibri"/>
          <w:b/>
          <w:i w:val="0"/>
          <w:color w:val="C00000"/>
          <w:sz w:val="20"/>
        </w:rPr>
        <w:t>US$ 147,7 milhões (−45,8%)</w:t>
      </w:r>
      <w:r>
        <w:rPr>
          <w:rFonts w:ascii="Calibri" w:hAnsi="Calibri"/>
          <w:b w:val="0"/>
          <w:i w:val="0"/>
          <w:sz w:val="20"/>
        </w:rPr>
        <w:t xml:space="preserve"> no fluxo direcionado ao mercado estadunidense.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 (Jan–Mai 2026)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685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I. Destruição bruta de comércio (EUA)</w:t>
            </w:r>
          </w:p>
        </w:tc>
        <w:tc>
          <w:tcPr>
            <w:tcW w:type="dxa" w:w="198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US$ 147,7 mi</w:t>
            </w:r>
          </w:p>
        </w:tc>
        <w:tc>
          <w:tcPr>
            <w:tcW w:type="dxa" w:w="368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−45,8% vs. Jan–Mai 2025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II. Desvio de comércio — ganho em 3ºs mercados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US$ 29,2 mi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+5,8% nos demais destinos</w:t>
            </w:r>
          </w:p>
        </w:tc>
      </w:tr>
      <w:tr>
        <w:tc>
          <w:tcPr>
            <w:tcW w:type="dxa" w:w="3685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III. Destruição líquida de comércio</w:t>
            </w:r>
          </w:p>
        </w:tc>
        <w:tc>
          <w:tcPr>
            <w:tcW w:type="dxa" w:w="198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US$ 118,6 mi</w:t>
            </w:r>
          </w:p>
        </w:tc>
        <w:tc>
          <w:tcPr>
            <w:tcW w:type="dxa" w:w="368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Perda de divisas não recuperada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IV. Efeito-preço (prêmio EUA não realizado)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Incluído na estimativa setorial (ver Seção 4.2)</w:t>
            </w:r>
          </w:p>
        </w:tc>
      </w:tr>
      <w:tr>
        <w:tc>
          <w:tcPr>
            <w:tcW w:type="dxa" w:w="3685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Perda total estimada (Metodologia A)</w:t>
            </w:r>
          </w:p>
        </w:tc>
        <w:tc>
          <w:tcPr>
            <w:tcW w:type="dxa" w:w="198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US$ 118,6 mi</w:t>
            </w:r>
          </w:p>
        </w:tc>
        <w:tc>
          <w:tcPr>
            <w:tcW w:type="dxa" w:w="3685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Cenário conservador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Perda total estimada (Metodologia B)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US$ 114,4 mi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Cenário base (baseline 2024)</w:t>
            </w:r>
          </w:p>
        </w:tc>
      </w:tr>
    </w:tbl>
    <w:p/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O desvio de comércio (US$ 29,2 milhões) representa a rota de escape parcial: exportadores redirecionaram fluxos para Europa — especialmente Itália (+2,5 p.p. de share) — e América Latina — México (+1,0 p.p.) e Argentina (+0,35 p.p.). Entretanto, esse desvio compensa apenas 19,8% da destruição bruta, confirmando que a substituição de mercados não ocorreu na mesma proporção do volume perdido.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2E75B6"/>
          <w:sz w:val="22"/>
        </w:rPr>
        <w:t>4.2 Decomposição setorial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A tabela abaixo desagrega a perda estimada por atividade, incluindo o efeito-preço calculado com base no prêmio de valor unitário do mercado estadunidense frente aos demais destinos (ver Seção 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Setor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I. Destruição</w:t>
              <w:br/>
              <w:t>Bruta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II. Desvio</w:t>
              <w:br/>
              <w:t>Comércio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III. Destruição</w:t>
              <w:br/>
              <w:t>Líquida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IV. Efeito-</w:t>
              <w:br/>
              <w:t>Preço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Perda Total</w:t>
              <w:br/>
              <w:t>(Met. A)</w:t>
            </w:r>
          </w:p>
        </w:tc>
      </w:tr>
      <w:tr>
        <w:tc>
          <w:tcPr>
            <w:tcW w:type="dxa" w:w="2381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Madeira serrada e painéis (CNAE 16)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US$ 118,1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US$ 32,5 mi</w:t>
            </w:r>
          </w:p>
        </w:tc>
        <w:tc>
          <w:tcPr>
            <w:tcW w:type="dxa" w:w="158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US$ 85,6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US$ 30,1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US$ 115,8 mi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Móveis e componentes (CNAE 31)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US$ 24,9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US$ 24,9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US$ 24,9 mi</w:t>
            </w:r>
          </w:p>
        </w:tc>
      </w:tr>
      <w:tr>
        <w:tc>
          <w:tcPr>
            <w:tcW w:type="dxa" w:w="2381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Madeira + Móveis (16+31)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US$ 143,1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US$ 24,2 mi</w:t>
            </w:r>
          </w:p>
        </w:tc>
        <w:tc>
          <w:tcPr>
            <w:tcW w:type="dxa" w:w="158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US$ 118,9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US$ 30,4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US$ 149,3 mi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Papel e Celulose (CNAE 17)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US$ 5,2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US$ 10,8 mi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−US$ 5,6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US$ 17,7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US$ 12,2 mi</w:t>
            </w:r>
          </w:p>
        </w:tc>
      </w:tr>
      <w:tr>
        <w:tc>
          <w:tcPr>
            <w:tcW w:type="dxa" w:w="2381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Florestal (CNAE 2)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−US$ 0,6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158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−US$ 0,6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−US$ 0,6 mi</w:t>
            </w:r>
          </w:p>
        </w:tc>
      </w:tr>
      <w:tr>
        <w:tc>
          <w:tcPr>
            <w:tcW w:type="dxa" w:w="2381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COMPLEXO FLORESTAL TOTAL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US$ 147,7 mi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US$ 29,2 mi</w:t>
            </w:r>
          </w:p>
        </w:tc>
        <w:tc>
          <w:tcPr>
            <w:tcW w:type="dxa" w:w="1587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US$ 118,6 mi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US$ 118,6 mi</w:t>
            </w:r>
          </w:p>
        </w:tc>
      </w:tr>
    </w:tbl>
    <w:p/>
    <w:p>
      <w:pPr>
        <w:spacing w:before="40" w:after="40"/>
        <w:jc w:val="left"/>
      </w:pPr>
      <w:r>
        <w:rPr>
          <w:rFonts w:ascii="Calibri" w:hAnsi="Calibri"/>
          <w:b w:val="0"/>
          <w:i/>
          <w:color w:val="404040"/>
          <w:sz w:val="16"/>
        </w:rPr>
        <w:t>Nota: valores arredondados. Metodologia A utiliza baseline Jan–Mai 2025. Efeito-preço calculado como variação de volume nos destinos alternativos × prêmio EUA (USD/kg). Base Florestal e total do Complexo não incluem efeito-preço por limitação de dados de volume.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5. Prêmio de Mercado e Efeito-Preço da Diversificação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A estimação do efeito-preço parte da comparação entre o valor unitário (USD/kg) realizado nas exportações para os EUA e o valor unitário médio obtido nos demais destinos. O diferencial — denominado prêmio de mercado — representa o custo implícito da diversificação forçada: ao vender o mesmo produto em outros mercados, o exportador obtém receita unitária inferior.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Setor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Período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VU — EUA (USD/kg)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VU — Outros (USD/kg)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Prêmio EUA (USD/kg)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Prêmio (%)</w:t>
            </w:r>
          </w:p>
        </w:tc>
      </w:tr>
      <w:tr>
        <w:tc>
          <w:tcPr>
            <w:tcW w:type="dxa" w:w="1984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Complexo Florestal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2024 (ano fechado)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US$ 1,2014/kg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US$ 0,4530/kg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US$ 0,7484/kg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+165,2%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Complexo Florestal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2025 (ano fechado)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US$ 1,0816/kg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US$ 0,4654/kg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US$ 0,6162/kg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+132,4%</w:t>
            </w:r>
          </w:p>
        </w:tc>
      </w:tr>
      <w:tr>
        <w:tc>
          <w:tcPr>
            <w:tcW w:type="dxa" w:w="1984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Complexo Florestal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2026 (Jan–Mai)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US$ 1,0245/kg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US$ 0,4767/kg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US$ 0,5477/kg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+114,9%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b w:val="0"/>
          <w:i w:val="0"/>
          <w:sz w:val="20"/>
        </w:rPr>
        <w:t xml:space="preserve">O prêmio de mercado estadunidense, que chegou a </w:t>
      </w:r>
      <w:r>
        <w:rPr>
          <w:rFonts w:ascii="Calibri" w:hAnsi="Calibri"/>
          <w:b/>
          <w:i w:val="0"/>
          <w:color w:val="1F4E79"/>
          <w:sz w:val="20"/>
        </w:rPr>
        <w:t>165% em 2024</w:t>
      </w:r>
      <w:r>
        <w:rPr>
          <w:rFonts w:ascii="Calibri" w:hAnsi="Calibri"/>
          <w:b w:val="0"/>
          <w:i w:val="0"/>
          <w:sz w:val="20"/>
        </w:rPr>
        <w:t xml:space="preserve">, já vinha se comprimindo ao longo de 2025 (−32,8 p.p.) — sinal de que a ameaça tarifária antecipada pelos compradores induziu renogociações de preço antes mesmo da vigência formal das medidas. Em 2026, o prêmio recuou para </w:t>
      </w:r>
      <w:r>
        <w:rPr>
          <w:rFonts w:ascii="Calibri" w:hAnsi="Calibri"/>
          <w:b/>
          <w:i w:val="0"/>
          <w:color w:val="1F4E79"/>
          <w:sz w:val="20"/>
        </w:rPr>
        <w:t>114,9%</w:t>
      </w:r>
      <w:r>
        <w:rPr>
          <w:rFonts w:ascii="Calibri" w:hAnsi="Calibri"/>
          <w:b w:val="0"/>
          <w:i w:val="0"/>
          <w:sz w:val="20"/>
        </w:rPr>
        <w:t>, refletindo tanto a compressão de margens dos exportadores para manter competitividade quanto a migração dos produtos de maior valor agregado para destinos europeus, que parcialmente absorvem o prêmio de qualidade anteriormente capturado pelo mercado estadunidense.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6. Receita Foregone — Estimativas Contrafactuais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A receita foregone (receita não realizada) é estimada aplicando o share histórico dos EUA ao volume total exportado pelo Complexo Florestal em Jan–Mai 2026 (US$ 703,7 milhões), e subtraindo o valor efetivamente exportado para o mercado estadunidense (US$ 174,4 milhões):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Cenário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Share</w:t>
              <w:br/>
              <w:t>Baseline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EXP</w:t>
              <w:br/>
              <w:t>(real)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 EUA</w:t>
              <w:br/>
              <w:t>(real)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 EUA</w:t>
              <w:br/>
              <w:t>(contrafactual)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Receita</w:t>
              <w:br/>
              <w:t>Foregone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Relevância</w:t>
            </w:r>
          </w:p>
        </w:tc>
      </w:tr>
      <w:tr>
        <w:tc>
          <w:tcPr>
            <w:tcW w:type="dxa" w:w="1417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 — Conservador</w:t>
            </w:r>
          </w:p>
        </w:tc>
        <w:tc>
          <w:tcPr>
            <w:tcW w:type="dxa" w:w="124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39,2%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US$ 703,7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US$ 174,4 mi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US$ 275,7 mi</w:t>
            </w:r>
          </w:p>
        </w:tc>
        <w:tc>
          <w:tcPr>
            <w:tcW w:type="dxa" w:w="158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US$ 101,3 mi</w:t>
            </w:r>
          </w:p>
        </w:tc>
        <w:tc>
          <w:tcPr>
            <w:tcW w:type="dxa" w:w="198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14,4% do total exportado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 — Base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41,0%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US$ 703,7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US$ 174,4 mi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US$ 288,8 mi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US$ 114,4 mi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16,3% do total exportado</w:t>
            </w:r>
          </w:p>
        </w:tc>
      </w:tr>
      <w:tr>
        <w:tc>
          <w:tcPr>
            <w:tcW w:type="dxa" w:w="1417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 — Estrutural</w:t>
            </w:r>
          </w:p>
        </w:tc>
        <w:tc>
          <w:tcPr>
            <w:tcW w:type="dxa" w:w="124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41,1%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US$ 703,7 mi</w:t>
            </w:r>
          </w:p>
        </w:tc>
        <w:tc>
          <w:tcPr>
            <w:tcW w:type="dxa" w:w="141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US$ 174,4 mi</w:t>
            </w:r>
          </w:p>
        </w:tc>
        <w:tc>
          <w:tcPr>
            <w:tcW w:type="dxa" w:w="1701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US$ 289,0 mi</w:t>
            </w:r>
          </w:p>
        </w:tc>
        <w:tc>
          <w:tcPr>
            <w:tcW w:type="dxa" w:w="158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US$ 114,5 mi</w:t>
            </w:r>
          </w:p>
        </w:tc>
        <w:tc>
          <w:tcPr>
            <w:tcW w:type="dxa" w:w="1984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16,3% do total exportado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b w:val="0"/>
          <w:i w:val="0"/>
          <w:sz w:val="20"/>
        </w:rPr>
        <w:t xml:space="preserve">Independentemente do cenário adotado, a receita foregone situa-se entre </w:t>
      </w:r>
      <w:r>
        <w:rPr>
          <w:rFonts w:ascii="Calibri" w:hAnsi="Calibri"/>
          <w:b/>
          <w:i w:val="0"/>
          <w:color w:val="1F4E79"/>
          <w:sz w:val="20"/>
        </w:rPr>
        <w:t>US$ 101,3 milhões (Cenário A)</w:t>
      </w:r>
      <w:r>
        <w:rPr>
          <w:rFonts w:ascii="Calibri" w:hAnsi="Calibri"/>
          <w:b w:val="0"/>
          <w:i w:val="0"/>
          <w:sz w:val="20"/>
        </w:rPr>
        <w:t xml:space="preserve"> e </w:t>
      </w:r>
      <w:r>
        <w:rPr>
          <w:rFonts w:ascii="Calibri" w:hAnsi="Calibri"/>
          <w:b/>
          <w:i w:val="0"/>
          <w:color w:val="1F4E79"/>
          <w:sz w:val="20"/>
        </w:rPr>
        <w:t>US$ 114,5 milhões (Cenário C)</w:t>
      </w:r>
      <w:r>
        <w:rPr>
          <w:rFonts w:ascii="Calibri" w:hAnsi="Calibri"/>
          <w:b w:val="0"/>
          <w:i w:val="0"/>
          <w:sz w:val="20"/>
        </w:rPr>
        <w:t xml:space="preserve"> — intervalo estreito que confere robustez à estimativa, dado que o share histórico dos EUA era notavelmente estável em 2022–2024 (41±2%).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7. Diversificação Forçada — Evidência pelos Índices HHI e Coeficiente de Gini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A realocação de fluxos induzida pelo choque tarifário é mensurável pelo Índice Herfindahl-Hirschman (HHI) e pelo Coeficiente de Gini de concentração de destinos — métricas padrão na literatura de organização industrial e comércio internacional para avaliar grau de concentração de 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Setor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HHI</w:t>
              <w:br/>
              <w:t>2024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HHI</w:t>
              <w:br/>
              <w:t>2025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HHI</w:t>
              <w:br/>
              <w:t>2026*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Gini</w:t>
              <w:br/>
              <w:t>2024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Gini</w:t>
              <w:br/>
              <w:t>2025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Gini</w:t>
              <w:br/>
              <w:t>2026*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Var. HHI</w:t>
              <w:br/>
              <w:t>2024→2026</w:t>
            </w:r>
          </w:p>
        </w:tc>
      </w:tr>
      <w:tr>
        <w:tc>
          <w:tcPr>
            <w:tcW w:type="dxa" w:w="2268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Madeira (CNAE 16)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2.695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1.929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1.253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0,8955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0,8591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0,8362</w:t>
            </w:r>
          </w:p>
        </w:tc>
        <w:tc>
          <w:tcPr>
            <w:tcW w:type="dxa" w:w="124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−1.442 pts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Móveis (CNAE 31)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2.362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1.877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1.314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0,9056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0,8953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0,8401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−1.048 pts</w:t>
            </w:r>
          </w:p>
        </w:tc>
      </w:tr>
      <w:tr>
        <w:tc>
          <w:tcPr>
            <w:tcW w:type="dxa" w:w="2268"/>
            <w:shd w:val="clear" w:color="auto" w:fill="DDEE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Papel e Celulose (CNAE 17)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1.059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1.118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1.078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0,8575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0,8687</w:t>
            </w:r>
          </w:p>
        </w:tc>
        <w:tc>
          <w:tcPr>
            <w:tcW w:type="dxa" w:w="1020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0,8485</w:t>
            </w:r>
          </w:p>
        </w:tc>
        <w:tc>
          <w:tcPr>
            <w:tcW w:type="dxa" w:w="1247"/>
            <w:shd w:val="clear" w:color="auto" w:fill="DDEE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+19 pts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Florestal (CNAE 2)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4.082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4.068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3.594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0,9313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0,9363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0,9056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−488 pts</w:t>
            </w:r>
          </w:p>
        </w:tc>
      </w:tr>
      <w:tr>
        <w:tc>
          <w:tcPr>
            <w:tcW w:type="dxa" w:w="2268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Complexo Florestal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1.863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1.298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840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0,8878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0,8597</w:t>
            </w:r>
          </w:p>
        </w:tc>
        <w:tc>
          <w:tcPr>
            <w:tcW w:type="dxa" w:w="1020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0,8366</w:t>
            </w:r>
          </w:p>
        </w:tc>
        <w:tc>
          <w:tcPr>
            <w:tcW w:type="dxa" w:w="1247"/>
            <w:shd w:val="clear" w:color="auto" w:fill="FFF2C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−1.023 pts</w:t>
            </w:r>
          </w:p>
        </w:tc>
      </w:tr>
    </w:tbl>
    <w:p/>
    <w:p>
      <w:pPr>
        <w:spacing w:before="40" w:after="40"/>
        <w:jc w:val="left"/>
      </w:pPr>
      <w:r>
        <w:rPr>
          <w:rFonts w:ascii="Calibri" w:hAnsi="Calibri"/>
          <w:b w:val="0"/>
          <w:i/>
          <w:color w:val="404040"/>
          <w:sz w:val="16"/>
        </w:rPr>
        <w:t>* 2026 = Jan–Mai apenas. HHI: escala 0–10.000 (10.000 = monopolista). Gini: 0 = distribuição uniforme; 1 = concentração máxima. Fontes: ComexStat/MDIC; cálculos Observatório FIESC.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O HHI do Complexo recuou de 1.863 (2024) para 840 pontos em Jan–Mai 2026 — transição de concentração moderada para mercado competitivo segundo os parâmetros do Department of Justice dos EUA (limiar: 1.500 pontos). Em termos analíticos, esse movimento configura desvio de comércio de segunda ordem: além da realocação de receita (US$ 29,2 mi), há o custo estrutural de inserção em novos mercados — logística, certificações, relacionamento comercial — que não é capturado nos fluxos de valor FOB.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O Coeficiente de Gini, que varia entre 0 (distribuição perfeita entre destinos) e 1 (concentração máxima em único destino), reduziu-se de 0,888 para 0,837 no mesmo intervalo. A queda é estatisticamente significativa e indica que a diversificação, embora forçada e subótima, é empiricamente verificável nos microdados de transação.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8. Síntese Quantitativa e Conclusão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O choque tarifário estadunidense de abril de 2025 impôs ao Complexo Florestal catarinense uma perda de receita de exportação estimada entre US$ 101 milhões e US$ 115 milhões em apenas cinco meses (janeiro–maio de 2026), comparativamente ao cenário contrafactual sem alteração tarifária. A decomposição do impacto revela três dinâmicas simultâneas:</w:t>
      </w:r>
    </w:p>
    <w:p>
      <w:pPr>
        <w:pStyle w:val="ListBullet"/>
        <w:spacing w:after="80"/>
        <w:jc w:val="both"/>
      </w:pPr>
      <w:r>
        <w:rPr>
          <w:rFonts w:ascii="Calibri" w:hAnsi="Calibri"/>
          <w:b/>
          <w:i w:val="0"/>
          <w:color w:val="1F4E79"/>
          <w:sz w:val="20"/>
        </w:rPr>
        <w:t xml:space="preserve">Destruição de comércio (trade destruction): </w:t>
      </w:r>
      <w:r>
        <w:rPr>
          <w:rFonts w:ascii="Calibri" w:hAnsi="Calibri"/>
          <w:b w:val="0"/>
          <w:i w:val="0"/>
          <w:sz w:val="20"/>
        </w:rPr>
        <w:t>US$ 147,7 milhões de exportações não realizadas para os EUA; apenas US$ 29,2 milhões (19,8%) foram compensados por ganhos em terceiros mercados, resultando em destruição líquida de US$ 118,6 milhões.</w:t>
      </w:r>
    </w:p>
    <w:p>
      <w:pPr>
        <w:pStyle w:val="ListBullet"/>
        <w:spacing w:after="80"/>
        <w:jc w:val="both"/>
      </w:pPr>
      <w:r>
        <w:rPr>
          <w:rFonts w:ascii="Calibri" w:hAnsi="Calibri"/>
          <w:b/>
          <w:i w:val="0"/>
          <w:color w:val="1F4E79"/>
          <w:sz w:val="20"/>
        </w:rPr>
        <w:t xml:space="preserve">Efeito-preço da diversificação: </w:t>
      </w:r>
      <w:r>
        <w:rPr>
          <w:rFonts w:ascii="Calibri" w:hAnsi="Calibri"/>
          <w:b w:val="0"/>
          <w:i w:val="0"/>
          <w:sz w:val="20"/>
        </w:rPr>
        <w:t>o mercado estadunidense pagava prêmio de 132% sobre o valor unitário obtido nos demais destinos (2025). A compressão desse prêmio — de 165% em 2024 para 115% em Jan–Mai 2026 — e a venda do volume desviado a preços inferiores adicionam perda implícita de receita, capturada parcialmente na estimativa setorial para madeira e painéis (US$ 30,1 mi de efeito-preço).</w:t>
      </w:r>
    </w:p>
    <w:p>
      <w:pPr>
        <w:pStyle w:val="ListBullet"/>
        <w:spacing w:after="80"/>
        <w:jc w:val="both"/>
      </w:pPr>
      <w:r>
        <w:rPr>
          <w:rFonts w:ascii="Calibri" w:hAnsi="Calibri"/>
          <w:b/>
          <w:i w:val="0"/>
          <w:color w:val="1F4E79"/>
          <w:sz w:val="20"/>
        </w:rPr>
        <w:t xml:space="preserve">Diversificação forçada (forced trade diversion): </w:t>
      </w:r>
      <w:r>
        <w:rPr>
          <w:rFonts w:ascii="Calibri" w:hAnsi="Calibri"/>
          <w:b w:val="0"/>
          <w:i w:val="0"/>
          <w:sz w:val="20"/>
        </w:rPr>
        <w:t>o HHI do Complexo Florestal SC caiu de 1.863 para 840 pontos em 18 meses — velocidade de diversificação incompatível com planejamento comercial estratégico, sugerindo que os ganhos de longo prazo em novos mercados virão acompanhados de custos de entrada não mensuráveis nos dados FOB atuais.</w:t>
      </w:r>
    </w:p>
    <w:p/>
    <w:p>
      <w:pPr>
        <w:spacing w:before="0" w:after="120"/>
        <w:jc w:val="both"/>
      </w:pPr>
      <w:r>
        <w:rPr>
          <w:rFonts w:ascii="Calibri" w:hAnsi="Calibri"/>
          <w:b w:val="0"/>
          <w:i w:val="0"/>
          <w:sz w:val="20"/>
        </w:rPr>
        <w:t>A exceção relevante é o segmento de Papel e Celulose (CNAE 17), que apresentou crescimento de 3,7% no período analisado. A natureza de commodity indiferenciada da celulose de mercado e a inelasticidade de curto prazo da demanda industrial estadunidense conferem a esse segmento imunidade relativa ao choque tarifário — os compradores industriais não substituem fornecedores de celulose de eucalipto no horizonte semestral. Esse comportamento diferenciado reforça a interpretação de que a perda é estrutural nos segmentos de produtos de maior elaboração (madeira processada e móveis), onde a elasticidade-preço da demanda é mais elevada e os concorrentes — especialmente os do Sudeste Asiático — ganham espaço com a mudança relativa de preços.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F4E79"/>
          <w:sz w:val="26"/>
        </w:rPr>
        <w:t>Apêndice Metodológico</w:t>
      </w:r>
    </w:p>
    <w:p>
      <w:pPr>
        <w:jc w:val="left"/>
      </w:pPr>
      <w:r>
        <w:rPr>
          <w:rFonts w:ascii="Calibri" w:hAnsi="Calibri"/>
          <w:b/>
          <w:i w:val="0"/>
          <w:color w:val="1F4E79"/>
          <w:sz w:val="20"/>
        </w:rPr>
        <w:t>Fontes e bases de dados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ComexStat/MDIC: microdados de exportação e importação por NCM 8 dígitos, UF, país destino/origem e valor FOB — série 2015–2026 (Jan–Mai).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SC Competitiva (FIESC): mapeamento NCM → setor estratégico catarinense, com correspondência a divisão CNAE (2, 16, 17, 31).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USITC Harmonized Tariff Schedule 2025: alíquotas MFN por subposição NCM.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Federal Register — Executive Orders de 02/04/2025 e 09/04/2025: texto das medidas tarifárias.</w:t>
      </w:r>
    </w:p>
    <w:p/>
    <w:p>
      <w:r>
        <w:rPr>
          <w:rFonts w:ascii="Calibri" w:hAnsi="Calibri"/>
          <w:b/>
          <w:i w:val="0"/>
          <w:color w:val="1F4E79"/>
          <w:sz w:val="20"/>
        </w:rPr>
        <w:t>Definições operacionais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HHI (Herfindahl-Hirschman Index): HHI = Σ sᵢ² × 10.000, onde sᵢ = participação de cada país destino no total exportado. Escala 0–10.000.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Coeficiente de Gini de concentração: G = [2 × Σ(i × yᵢ)] / [n × Σyᵢ] − (n+1)/n, com yᵢ ordenados em ordem crescente.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Valor unitário (VU): razão VL_FOB / QT_KG_LIQUIDO (USD/kg), calculado por país destino e setor.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Prêmio de mercado EUA: VU_EUA − VU_Outros, expresso em USD/kg e percentual.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Receita foregone (contrafactual): EXP_total_2026 × share_EUA_baseline − EXP_EUA_real_2026.</w:t>
      </w:r>
    </w:p>
    <w:p>
      <w:pPr>
        <w:spacing w:after="40"/>
      </w:pPr>
      <w:r>
        <w:rPr>
          <w:rFonts w:ascii="Calibri" w:hAnsi="Calibri"/>
          <w:b w:val="0"/>
          <w:i w:val="0"/>
          <w:color w:val="404040"/>
          <w:sz w:val="18"/>
        </w:rPr>
        <w:t>• Desvio de comércio: max(EXP_outros_2026 − EXP_outros_2025, 0) — captura apenas ganhos líquidos em terceiros.</w:t>
      </w:r>
    </w:p>
    <w:p/>
    <w:p>
      <w:pPr>
        <w:spacing w:before="40" w:after="40"/>
        <w:jc w:val="left"/>
      </w:pPr>
      <w:r>
        <w:rPr>
          <w:rFonts w:ascii="Calibri" w:hAnsi="Calibri"/>
          <w:b w:val="0"/>
          <w:i/>
          <w:color w:val="404040"/>
          <w:sz w:val="16"/>
        </w:rPr>
        <w:t>Nota de limitação: as estimativas baseiam-se no período Jan–Mai 2026 vs. Jan–Mai 2025. Efeitos de sazonalidade, ciclo econômico e variação cambial não são controlados isoladamente. A comparação com 2024 (ano fechado) como baseline visa mitigar parcialmente esse viés. Os valores em USD FOB não incorporam frete internacional nem seguros.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DBDB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  <w:jc w:val="left"/>
      </w:pPr>
      <w:r>
        <w:rPr>
          <w:rFonts w:ascii="Calibri" w:hAnsi="Calibri"/>
          <w:b w:val="0"/>
          <w:i/>
          <w:color w:val="404040"/>
          <w:sz w:val="16"/>
        </w:rPr>
        <w:t>Observatório FIESC | Gerência de Inteligência Econômica | Junho de 2026</w:t>
      </w:r>
    </w:p>
    <w:p>
      <w:pPr>
        <w:spacing w:before="40" w:after="40"/>
        <w:jc w:val="left"/>
      </w:pPr>
      <w:r>
        <w:rPr>
          <w:rFonts w:ascii="Calibri" w:hAnsi="Calibri"/>
          <w:b w:val="0"/>
          <w:i/>
          <w:color w:val="404040"/>
          <w:sz w:val="16"/>
        </w:rPr>
        <w:t>Dados: ComexStat/MDIC | Processamento: Pipeline Comex SC — Observatório FIESC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