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>Dados Aplicação</w:t>
      </w:r>
    </w:p>
    <w:p/>
    <w:tbl>
      <w:tblPr>
        <w:tblW w:w="15309" w:type="dxa"/>
        <w:tblInd w:w="-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8"/>
        <w:gridCol w:w="9641"/>
      </w:tblGrid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Nome do Aplicativo (ex.: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gesa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gesa_log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____________________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Centro de Custo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</w:t>
            </w:r>
          </w:p>
        </w:tc>
      </w:tr>
      <w:tr>
        <w:trPr>
          <w:trHeight w:val="1209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Canal</w:t>
            </w:r>
          </w:p>
        </w:tc>
        <w:tc>
          <w:tcPr>
            <w:tcW w:w="9641" w:type="dxa"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intranet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servfunc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servestrut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batch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mensageria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produto</w:t>
            </w:r>
          </w:p>
        </w:tc>
      </w:tr>
      <w:tr>
        <w:trPr>
          <w:trHeight w:val="1825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Tecnologia</w:t>
            </w:r>
          </w:p>
        </w:tc>
        <w:tc>
          <w:tcPr>
            <w:tcW w:w="9641" w:type="dxa"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awb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waspat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springbatch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ejbtimer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ejb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quartz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webservice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( )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jarexecutavel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produto</w:t>
            </w:r>
          </w:p>
        </w:tc>
      </w:tr>
      <w:tr>
        <w:trPr>
          <w:trHeight w:val="562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Arquitetura</w:t>
            </w:r>
          </w:p>
        </w:tc>
        <w:tc>
          <w:tcPr>
            <w:tcW w:w="9641" w:type="dxa"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funcional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estrutural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( ) produto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Ramo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StarTeam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com os </w:t>
            </w:r>
            <w:proofErr w:type="gram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fontes utilizados</w:t>
            </w:r>
            <w:proofErr w:type="gram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para migração: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___________________________________________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Número da RS de Migração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Seção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Analista Responsável pela Aplicação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___________________________________________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Ramal do Analista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Gerente Responsável pela Aplicação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  <w:hideMark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___________________________________________</w:t>
            </w:r>
          </w:p>
        </w:tc>
      </w:tr>
      <w:tr>
        <w:trPr>
          <w:trHeight w:val="300"/>
        </w:trPr>
        <w:tc>
          <w:tcPr>
            <w:tcW w:w="5668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Ramal do Gerente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(a ser preenchido pelo DS/GP24)</w:t>
            </w:r>
          </w:p>
        </w:tc>
        <w:tc>
          <w:tcPr>
            <w:tcW w:w="9641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______</w:t>
            </w:r>
          </w:p>
        </w:tc>
      </w:tr>
    </w:tbl>
    <w:p/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pPr>
        <w:rPr>
          <w:b/>
        </w:rPr>
      </w:pPr>
      <w:proofErr w:type="spellStart"/>
      <w:r>
        <w:rPr>
          <w:b/>
        </w:rPr>
        <w:t>Checklist</w:t>
      </w:r>
      <w:proofErr w:type="spellEnd"/>
      <w:r>
        <w:rPr>
          <w:b/>
        </w:rPr>
        <w:t xml:space="preserve"> - Geral</w:t>
      </w:r>
    </w:p>
    <w:p>
      <w:pPr>
        <w:rPr>
          <w:b/>
        </w:rPr>
      </w:pPr>
    </w:p>
    <w:tbl>
      <w:tblPr>
        <w:tblW w:w="15307" w:type="dxa"/>
        <w:tblInd w:w="-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5103"/>
        <w:gridCol w:w="9639"/>
      </w:tblGrid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 aplicação foi compilada com Java 7?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Necessário que a aplicação compile com Java 7.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Possui referências para métodos depreciados (@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Deprecated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)?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Não deve utilizar métodos depreciados.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Corrigido. Descrever correção: _____________________________________________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No código-fonte, possui link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hardcoded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com protocolo HTTP?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Necessário substituir por HTTPS.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Corrigido. Descrever correção: _____________________________________________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realm-name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está no padrão?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Necessário conter o canal: Intranet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O arquivo web.xml está com versão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schema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3.0?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Necessário para reconhecer configuração JSESSIONID.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 configuração do JSESSIONID no web.xml dedicado para aplicação foi implementada?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Necessário para que cada aplicação tenha sua própria sessão. 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As referências para arquivos externos de configuração foram corrigidas para o caminho padrão?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Caminho padrão: “/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suportedbdc_config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/&lt;canal&gt;/&lt;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cccc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&gt;/”.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 realiza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lookup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em recurso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WebSphere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, está de forma indireta?</w:t>
            </w:r>
          </w:p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Ex.: JDBC, JMS, J2C, URL, etc.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Necessário 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lookup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 indireto.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Direto. Foi corrigido para indireto. Recurso(s):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___________________________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Direto. Não foi possível corrigir. Justificativa:___________________________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4"/>
                <w:szCs w:val="4"/>
                <w:lang w:eastAsia="pt-BR"/>
              </w:rPr>
            </w:pP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Os recursos e pastas da aplicação estão no padrão?</w:t>
            </w:r>
          </w:p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Ex.: JDBC, JMS, J2C, URL, bibliotecas compartilhadas, diretórios.</w:t>
            </w:r>
          </w:p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Devem ficar no padrão, conforme manual de padrões WAS.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Corrigido para a nomenclatura padrão.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Os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JARs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utilizados estão sendo obtidos somente do LIBS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StarTeam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em momento de compilação?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Devem ser obtidos de LIBS, não devem existir </w:t>
            </w:r>
            <w:proofErr w:type="gram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dentro dos fontes</w:t>
            </w:r>
            <w:proofErr w:type="gram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 (WEB-INF/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lib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).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Corrigido.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__________________________________</w:t>
            </w:r>
          </w:p>
        </w:tc>
      </w:tr>
      <w:tr>
        <w:trPr>
          <w:trHeight w:val="300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 utiliza usuário e senha de serviço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hardcoded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, foi corrigido para JAAS de autenticação?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Não deve utilizar usuário de serviço 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hadcoded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.</w:t>
            </w:r>
          </w:p>
        </w:tc>
        <w:tc>
          <w:tcPr>
            <w:tcW w:w="9639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Já estava corrigido para JAAS de autenticação.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utilização de JAAS de autenticação.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__________________________________</w:t>
            </w:r>
          </w:p>
        </w:tc>
      </w:tr>
      <w:tr>
        <w:trPr>
          <w:trHeight w:val="652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Se utiliza recurso compartilhado “apl_db2zos” para conexão com DB2ZOS, foi corrigido para recurso dedicado?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Deve utilizar recurso dedicado por centro de custo, conforme manual de padrões de ambientes WAS. O alias para este recurso é único.</w:t>
            </w:r>
          </w:p>
        </w:tc>
        <w:tc>
          <w:tcPr>
            <w:tcW w:w="9639" w:type="dx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Já estava corrigido para recurso próprio e no padrão.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utilização de recurso próprio no padrão.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__________________________________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4"/>
                <w:szCs w:val="4"/>
                <w:lang w:eastAsia="pt-BR"/>
              </w:rPr>
            </w:pPr>
          </w:p>
        </w:tc>
      </w:tr>
      <w:tr>
        <w:trPr>
          <w:trHeight w:val="652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Possui dependência do JAR “isd-2.5.26.jar” do ISD 2.5?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Esse JAR foi descontinuado.</w:t>
            </w:r>
          </w:p>
        </w:tc>
        <w:tc>
          <w:tcPr>
            <w:tcW w:w="9639" w:type="dx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utilizar dependência do JAR do ISD 4.x.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___________________________________</w:t>
            </w:r>
          </w:p>
        </w:tc>
      </w:tr>
      <w:tr>
        <w:trPr>
          <w:trHeight w:val="652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Se WASPAT, utiliza o JAR “pool-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conexao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”?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Deve ser alterado para uso de conexão padrão (JDBC).</w:t>
            </w:r>
          </w:p>
        </w:tc>
        <w:tc>
          <w:tcPr>
            <w:tcW w:w="9639" w:type="dx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JDBC padrão (com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lookup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indireto).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__________________________________</w:t>
            </w:r>
          </w:p>
        </w:tc>
      </w:tr>
      <w:tr>
        <w:trPr>
          <w:trHeight w:val="652"/>
        </w:trPr>
        <w:tc>
          <w:tcPr>
            <w:tcW w:w="565" w:type="dxa"/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03" w:type="dxa"/>
            <w:noWrap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 utiliza API do EMSG, foi corrigido para uso da versão correta e para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lookup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indireto nos recursos do EMSG?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Deve utilizar a versão EMSG0005 e o 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lookup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 deve ser realizado de forma indireta (com recursos do EMSG declarados no WEB.XML.)</w:t>
            </w:r>
          </w:p>
        </w:tc>
        <w:tc>
          <w:tcPr>
            <w:tcW w:w="9639" w:type="dx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versão correta e com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lookup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indireto.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__________________________________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proofErr w:type="spellStart"/>
      <w:r>
        <w:rPr>
          <w:b/>
        </w:rPr>
        <w:t>Checklist</w:t>
      </w:r>
      <w:proofErr w:type="spellEnd"/>
      <w:r>
        <w:rPr>
          <w:b/>
        </w:rPr>
        <w:t xml:space="preserve"> Complementar - AWB</w:t>
      </w:r>
    </w:p>
    <w:p>
      <w:pPr>
        <w:rPr>
          <w:b/>
        </w:rPr>
      </w:pPr>
    </w:p>
    <w:tbl>
      <w:tblPr>
        <w:tblStyle w:val="Tabelacomgrade"/>
        <w:tblW w:w="153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5487"/>
        <w:gridCol w:w="9344"/>
      </w:tblGrid>
      <w:tr>
        <w:trPr>
          <w:trHeight w:val="65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Utiliza usuário e senha da AWB para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bind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com AD no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properties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?</w:t>
            </w:r>
          </w:p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Necessário que utilize JAAS.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 para utilização do JAAS.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Justificativa:________________________________</w:t>
            </w:r>
          </w:p>
        </w:tc>
      </w:tr>
      <w:tr>
        <w:trPr>
          <w:trHeight w:val="65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 utiliza a solução “tela componente” com FNEB, os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JARs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do FNEB foram obtidos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Starteam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(LIBS)?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Devem ser obtidos de LIBS / FNEB / </w:t>
            </w:r>
            <w:r>
              <w:rPr>
                <w:rFonts w:asciiTheme="minorHAnsi" w:eastAsia="Times New Roman" w:hAnsiTheme="minorHAnsi" w:cs="Courier New"/>
                <w:i/>
                <w:color w:val="000000"/>
                <w:sz w:val="16"/>
                <w:szCs w:val="20"/>
                <w:lang w:eastAsia="pt-BR"/>
              </w:rPr>
              <w:t>intranet_fneb_corpoarativo_negocio_v2 e intranet_fneb_corporativo_sistema_v2.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</w:t>
            </w:r>
          </w:p>
        </w:tc>
      </w:tr>
      <w:tr>
        <w:trPr>
          <w:trHeight w:val="65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Se AWB 2.x, possui a palavra ‘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class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’ entre aspas simples e colchetes nos arquivos de erros (401.jsp, 404.jsp, etc.)?</w:t>
            </w:r>
          </w:p>
          <w:p>
            <w:pP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Ex.: value="${</w:t>
            </w:r>
            <w:proofErr w:type="spellStart"/>
            <w:proofErr w:type="gram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authenticationException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[</w:t>
            </w:r>
            <w:proofErr w:type="gram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'class'].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simpleName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val="en-US" w:eastAsia="pt-BR"/>
              </w:rPr>
              <w:t>}".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A palavra “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class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” é reservada e o WAS 8.5 realiza essa validação.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Corrigido para ficar entre aspas simples.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</w:t>
            </w:r>
          </w:p>
        </w:tc>
      </w:tr>
      <w:tr>
        <w:trPr>
          <w:trHeight w:val="65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Foi incluída a página de erro padrão “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exception.xhtml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” no diretório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WebContent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do projeto?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</w:t>
            </w:r>
          </w:p>
        </w:tc>
      </w:tr>
      <w:tr>
        <w:trPr>
          <w:trHeight w:val="65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Arquivo externo de configuração de log (log4j-catalog.xml) foi ajustado conforme </w:t>
            </w:r>
            <w:bookmarkStart w:id="0" w:name="_GoBack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formato</w:t>
            </w:r>
            <w:bookmarkEnd w:id="0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padrão?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</w:t>
            </w:r>
          </w:p>
        </w:tc>
      </w:tr>
      <w:tr>
        <w:trPr>
          <w:trHeight w:val="300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18"/>
                <w:szCs w:val="20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Beans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inexistentes definidos no arquivo “WEB-INF/faces–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managed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beans-config.xml” ou no “WEB-INF/tiles-definitions.xml” foram removidos?</w:t>
            </w:r>
          </w:p>
        </w:tc>
        <w:tc>
          <w:tcPr>
            <w:tcW w:w="9344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</w:t>
            </w:r>
          </w:p>
        </w:tc>
      </w:tr>
      <w:tr>
        <w:trPr>
          <w:trHeight w:val="745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Se realiza interação com FWOP, as dependências para os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JARs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do FWOP foram obtidas do 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StarTeam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 xml:space="preserve"> (LIBS)?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Devem ser obtidos apenas para compilação de LIBS/FWOP/intranet_fwop_corporativo_negocio_v3.</w:t>
            </w:r>
          </w:p>
        </w:tc>
        <w:tc>
          <w:tcPr>
            <w:tcW w:w="9344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Já utiliza da forma correta.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Corrigido.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Não foi possível corrigir. Justificativa: _______________________________</w:t>
            </w:r>
          </w:p>
        </w:tc>
      </w:tr>
      <w:tr>
        <w:trPr>
          <w:trHeight w:val="94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Se utiliza o JAR “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tomahawk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”, o mesmo foi removido/substituído?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 xml:space="preserve">Obs.: Esse componente não deve ser utilizado, pois apresenta conflitos com outros </w:t>
            </w:r>
            <w:proofErr w:type="spellStart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JARs</w:t>
            </w:r>
            <w:proofErr w:type="spellEnd"/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.</w:t>
            </w:r>
          </w:p>
        </w:tc>
        <w:tc>
          <w:tcPr>
            <w:tcW w:w="9344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Constava no projeto, mas não era utilizado.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Removido e corrigido (utilizados novos componentes da AWB).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corrigir. Justificativa: _______________________________</w:t>
            </w:r>
          </w:p>
        </w:tc>
      </w:tr>
      <w:tr>
        <w:trPr>
          <w:trHeight w:val="94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Se AWB 2.x e se utiliza o JAR “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acegi-security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”, o mesmo foi removido?</w:t>
            </w:r>
          </w:p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i/>
                <w:color w:val="000000"/>
                <w:sz w:val="18"/>
                <w:szCs w:val="20"/>
                <w:lang w:eastAsia="pt-BR"/>
              </w:rPr>
              <w:t>Obs.: Não deve existir esse componente em aplicações AWB 2.X, pois é da AWB 1.x.</w:t>
            </w:r>
          </w:p>
        </w:tc>
        <w:tc>
          <w:tcPr>
            <w:tcW w:w="9344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 utiliza.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Removido.</w:t>
            </w:r>
          </w:p>
          <w:p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Não foi possível remover. Justificativa: ________________________________</w:t>
            </w:r>
          </w:p>
        </w:tc>
      </w:tr>
      <w:tr>
        <w:trPr>
          <w:trHeight w:val="942"/>
        </w:trPr>
        <w:tc>
          <w:tcPr>
            <w:tcW w:w="55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Arquivo externo de configuração da aplicação (</w:t>
            </w:r>
            <w:proofErr w:type="spellStart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application.properties</w:t>
            </w:r>
            <w:proofErr w:type="spellEnd"/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) foi ajustado, conforme chaves e valores padrão?</w:t>
            </w:r>
          </w:p>
        </w:tc>
        <w:tc>
          <w:tcPr>
            <w:tcW w:w="9344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 Justificativa: __________________________________________________________</w:t>
            </w:r>
          </w:p>
        </w:tc>
      </w:tr>
    </w:tbl>
    <w:p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>
      <w:pPr>
        <w:rPr>
          <w:b/>
        </w:rPr>
      </w:pPr>
      <w:r>
        <w:rPr>
          <w:b/>
        </w:rPr>
        <w:t>Informações complementares</w:t>
      </w:r>
    </w:p>
    <w:p>
      <w:pPr>
        <w:rPr>
          <w:b/>
        </w:rPr>
      </w:pPr>
    </w:p>
    <w:tbl>
      <w:tblPr>
        <w:tblStyle w:val="Tabelacomgrade"/>
        <w:tblW w:w="1539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487"/>
        <w:gridCol w:w="9344"/>
      </w:tblGrid>
      <w:tr>
        <w:trPr>
          <w:trHeight w:val="652"/>
        </w:trPr>
        <w:tc>
          <w:tcPr>
            <w:tcW w:w="567" w:type="dxa"/>
            <w:tcMar>
              <w:left w:w="68" w:type="dxa"/>
              <w:right w:w="68" w:type="dxa"/>
            </w:tcMar>
            <w:vAlign w:val="center"/>
          </w:tcPr>
          <w:p>
            <w:pPr>
              <w:pStyle w:val="PargrafodaLista"/>
              <w:numPr>
                <w:ilvl w:val="0"/>
                <w:numId w:val="7"/>
              </w:numPr>
              <w:rPr>
                <w:rFonts w:asciiTheme="minorHAnsi" w:eastAsia="Times New Roman" w:hAnsiTheme="minorHAnsi" w:cs="Courier New"/>
                <w:b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487" w:type="dxa"/>
            <w:noWrap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eastAsia="pt-BR"/>
              </w:rPr>
              <w:t>Existem outros apontamentos/observações identificados?</w:t>
            </w:r>
          </w:p>
        </w:tc>
        <w:tc>
          <w:tcPr>
            <w:tcW w:w="9344" w:type="dxa"/>
            <w:tcMar>
              <w:top w:w="57" w:type="dxa"/>
              <w:left w:w="68" w:type="dxa"/>
              <w:bottom w:w="57" w:type="dxa"/>
              <w:right w:w="68" w:type="dxa"/>
            </w:tcMar>
            <w:vAlign w:val="center"/>
          </w:tcPr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Não.</w:t>
            </w:r>
          </w:p>
          <w:p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 )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Sim. Descrever os apontamentos/observações: __________________________________</w:t>
            </w:r>
          </w:p>
        </w:tc>
      </w:tr>
    </w:tbl>
    <w:p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sectPr>
      <w:headerReference w:type="default" r:id="rId8"/>
      <w:footerReference w:type="default" r:id="rId9"/>
      <w:pgSz w:w="16838" w:h="11906" w:orient="landscape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88"/>
    </w:tblGrid>
    <w:tr>
      <w:tc>
        <w:tcPr>
          <w:tcW w:w="15388" w:type="dxa"/>
        </w:tcPr>
        <w:p>
          <w:pPr>
            <w:pStyle w:val="Rodap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 xml:space="preserve">“Este documento foi classificado pelo DS - 4253 / Departamento de Sistemas, e o acesso está </w:t>
          </w:r>
          <w:proofErr w:type="gramStart"/>
          <w:r>
            <w:rPr>
              <w:rFonts w:ascii="Arial" w:hAnsi="Arial" w:cs="Arial"/>
              <w:i/>
              <w:iCs/>
              <w:sz w:val="16"/>
              <w:szCs w:val="16"/>
            </w:rPr>
            <w:t>autorizado,</w:t>
          </w:r>
          <w:r>
            <w:rPr>
              <w:rFonts w:ascii="Arial" w:hAnsi="Arial" w:cs="Arial"/>
              <w:i/>
              <w:iCs/>
              <w:sz w:val="16"/>
              <w:szCs w:val="16"/>
            </w:rPr>
            <w:br/>
            <w:t>exclusivamente</w:t>
          </w:r>
          <w:proofErr w:type="gramEnd"/>
          <w:r>
            <w:rPr>
              <w:rFonts w:ascii="Arial" w:hAnsi="Arial" w:cs="Arial"/>
              <w:i/>
              <w:iCs/>
              <w:sz w:val="16"/>
              <w:szCs w:val="16"/>
            </w:rPr>
            <w:t>, aos Funcionários e Colaboradores da Organização Bradesco.”</w:t>
          </w:r>
        </w:p>
      </w:tc>
    </w:tr>
  </w:tbl>
  <w:p>
    <w:pPr>
      <w:pStyle w:val="Rodap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68"/>
      <w:gridCol w:w="10915"/>
      <w:gridCol w:w="2205"/>
    </w:tblGrid>
    <w:tr>
      <w:tc>
        <w:tcPr>
          <w:tcW w:w="2268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1136650" cy="304800"/>
                <wp:effectExtent l="0" t="0" r="6350" b="0"/>
                <wp:docPr id="4" name="Imagem 4" descr="Bradesco_H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desco_H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1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Laudo de Migração de Aplicação - WAS 6.1 para WAS 8.5 - Intranet</w:t>
          </w:r>
        </w:p>
      </w:tc>
      <w:tc>
        <w:tcPr>
          <w:tcW w:w="220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  <w:jc w:val="right"/>
          </w:pPr>
          <w:r>
            <w:rPr>
              <w:rFonts w:ascii="Arial" w:hAnsi="Arial" w:cs="Arial"/>
              <w:bCs/>
              <w:iCs/>
              <w:color w:val="000000"/>
              <w:sz w:val="20"/>
              <w:szCs w:val="20"/>
            </w:rPr>
            <w:t>CONFIDENCIAL</w:t>
          </w:r>
        </w:p>
      </w:tc>
    </w:tr>
    <w:tr>
      <w:tc>
        <w:tcPr>
          <w:tcW w:w="226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  <w:rPr>
              <w:noProof/>
              <w:lang w:eastAsia="pt-BR"/>
            </w:rPr>
          </w:pPr>
        </w:p>
      </w:tc>
      <w:tc>
        <w:tcPr>
          <w:tcW w:w="10915" w:type="dxa"/>
          <w:tcBorders>
            <w:top w:val="nil"/>
            <w:left w:val="nil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</w:pPr>
        </w:p>
      </w:tc>
      <w:tc>
        <w:tcPr>
          <w:tcW w:w="2205" w:type="dxa"/>
          <w:tcBorders>
            <w:top w:val="nil"/>
            <w:left w:val="nil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  <w:jc w:val="right"/>
            <w:rPr>
              <w:rFonts w:ascii="Arial" w:hAnsi="Arial" w:cs="Arial"/>
              <w:bCs/>
              <w:iCs/>
              <w:color w:val="000000"/>
              <w:sz w:val="20"/>
              <w:szCs w:val="20"/>
            </w:rPr>
          </w:pPr>
        </w:p>
      </w:tc>
    </w:tr>
    <w:tr>
      <w:tc>
        <w:tcPr>
          <w:tcW w:w="2268" w:type="dxa"/>
          <w:tcBorders>
            <w:top w:val="single" w:sz="1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  <w:rPr>
              <w:noProof/>
              <w:lang w:eastAsia="pt-BR"/>
            </w:rPr>
          </w:pPr>
        </w:p>
      </w:tc>
      <w:tc>
        <w:tcPr>
          <w:tcW w:w="10915" w:type="dxa"/>
          <w:tcBorders>
            <w:top w:val="single" w:sz="12" w:space="0" w:color="auto"/>
            <w:left w:val="nil"/>
            <w:bottom w:val="nil"/>
            <w:right w:val="single" w:sz="2" w:space="0" w:color="auto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</w:pPr>
        </w:p>
      </w:tc>
      <w:tc>
        <w:tcPr>
          <w:tcW w:w="2205" w:type="dxa"/>
          <w:tcBorders>
            <w:top w:val="single" w:sz="12" w:space="0" w:color="auto"/>
            <w:left w:val="single" w:sz="2" w:space="0" w:color="auto"/>
            <w:bottom w:val="single" w:sz="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>
          <w:pPr>
            <w:pStyle w:val="Cabealho"/>
            <w:jc w:val="right"/>
            <w:rPr>
              <w:rFonts w:ascii="Arial" w:hAnsi="Arial" w:cs="Arial"/>
              <w:bCs/>
              <w:iCs/>
              <w:color w:val="000000"/>
              <w:sz w:val="20"/>
              <w:szCs w:val="20"/>
            </w:rPr>
          </w:pPr>
          <w:r>
            <w:rPr>
              <w:rFonts w:ascii="Arial" w:hAnsi="Arial" w:cs="Arial"/>
              <w:bCs/>
              <w:iCs/>
              <w:sz w:val="20"/>
              <w:szCs w:val="20"/>
            </w:rPr>
            <w:t>DS/424    -   Versão: 1.6</w:t>
          </w:r>
        </w:p>
      </w:tc>
    </w:tr>
  </w:tbl>
  <w:p>
    <w:pPr>
      <w:pStyle w:val="Cabealh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3CA9"/>
    <w:multiLevelType w:val="hybridMultilevel"/>
    <w:tmpl w:val="CED6A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3E17"/>
    <w:multiLevelType w:val="hybridMultilevel"/>
    <w:tmpl w:val="0F322E50"/>
    <w:lvl w:ilvl="0" w:tplc="D08ADC10">
      <w:start w:val="1"/>
      <w:numFmt w:val="decimal"/>
      <w:lvlText w:val="0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C5232"/>
    <w:multiLevelType w:val="hybridMultilevel"/>
    <w:tmpl w:val="015463EA"/>
    <w:lvl w:ilvl="0" w:tplc="220C922C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72B0"/>
    <w:multiLevelType w:val="hybridMultilevel"/>
    <w:tmpl w:val="5636A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17E2F"/>
    <w:multiLevelType w:val="hybridMultilevel"/>
    <w:tmpl w:val="605C4622"/>
    <w:lvl w:ilvl="0" w:tplc="B87264E8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5176D"/>
    <w:multiLevelType w:val="hybridMultilevel"/>
    <w:tmpl w:val="EFDA017E"/>
    <w:lvl w:ilvl="0" w:tplc="B87264E8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92140"/>
    <w:multiLevelType w:val="hybridMultilevel"/>
    <w:tmpl w:val="BD201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230ABE2C-B574-4B88-BA20-2C30FA61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Header 1,h"/>
    <w:basedOn w:val="Normal"/>
    <w:link w:val="CabealhoChar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Calibri" w:hAnsi="Calibri" w:cs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3C74-C941-4309-B292-432A8882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4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ENDRIGO VICENTE BORGONOVI</dc:creator>
  <cp:keywords/>
  <dc:description/>
  <cp:lastModifiedBy>ENDRIGO VICENTE BORGONOVI</cp:lastModifiedBy>
  <cp:revision>108</cp:revision>
  <cp:lastPrinted>2017-07-05T18:07:00Z</cp:lastPrinted>
  <dcterms:created xsi:type="dcterms:W3CDTF">2017-07-03T20:00:00Z</dcterms:created>
  <dcterms:modified xsi:type="dcterms:W3CDTF">2017-12-22T12:44:00Z</dcterms:modified>
</cp:coreProperties>
</file>