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868" w:rsidRPr="001E5868" w:rsidRDefault="001E5868" w:rsidP="001E5868">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r w:rsidRPr="001E5868">
        <w:rPr>
          <w:rFonts w:ascii="Times New Roman" w:eastAsia="Times New Roman" w:hAnsi="Times New Roman" w:cs="Times New Roman"/>
          <w:b/>
          <w:bCs/>
          <w:sz w:val="36"/>
          <w:szCs w:val="36"/>
        </w:rPr>
        <w:t>Conclusiones</w:t>
      </w:r>
    </w:p>
    <w:p w:rsidR="001E5868" w:rsidRPr="001E5868" w:rsidRDefault="001E5868" w:rsidP="001E5868">
      <w:pPr>
        <w:spacing w:before="100" w:beforeAutospacing="1" w:after="100" w:afterAutospacing="1" w:line="240" w:lineRule="auto"/>
        <w:rPr>
          <w:rFonts w:ascii="Times New Roman" w:eastAsia="Times New Roman" w:hAnsi="Times New Roman" w:cs="Times New Roman"/>
          <w:sz w:val="24"/>
          <w:szCs w:val="24"/>
          <w:lang w:val="en-US"/>
        </w:rPr>
      </w:pPr>
      <w:r w:rsidRPr="001E5868">
        <w:rPr>
          <w:rFonts w:ascii="Times New Roman" w:eastAsia="Times New Roman" w:hAnsi="Times New Roman" w:cs="Times New Roman"/>
          <w:sz w:val="24"/>
          <w:szCs w:val="24"/>
        </w:rPr>
        <w:t xml:space="preserve">A partir de los análisis realizados, se observa que existe una </w:t>
      </w:r>
      <w:r w:rsidRPr="001E5868">
        <w:rPr>
          <w:rFonts w:ascii="Times New Roman" w:eastAsia="Times New Roman" w:hAnsi="Times New Roman" w:cs="Times New Roman"/>
          <w:b/>
          <w:bCs/>
          <w:sz w:val="24"/>
          <w:szCs w:val="24"/>
        </w:rPr>
        <w:t>relación significativa entre la cantidad de establecimientos educativos y bibliotecas populares</w:t>
      </w:r>
      <w:r w:rsidRPr="001E5868">
        <w:rPr>
          <w:rFonts w:ascii="Times New Roman" w:eastAsia="Times New Roman" w:hAnsi="Times New Roman" w:cs="Times New Roman"/>
          <w:sz w:val="24"/>
          <w:szCs w:val="24"/>
        </w:rPr>
        <w:t xml:space="preserve"> en los departamentos del país, especialmente cuando se considera la </w:t>
      </w:r>
      <w:r w:rsidRPr="001E5868">
        <w:rPr>
          <w:rFonts w:ascii="Times New Roman" w:eastAsia="Times New Roman" w:hAnsi="Times New Roman" w:cs="Times New Roman"/>
          <w:b/>
          <w:bCs/>
          <w:sz w:val="24"/>
          <w:szCs w:val="24"/>
        </w:rPr>
        <w:t>población relativa</w:t>
      </w:r>
      <w:r w:rsidRPr="001E5868">
        <w:rPr>
          <w:rFonts w:ascii="Times New Roman" w:eastAsia="Times New Roman" w:hAnsi="Times New Roman" w:cs="Times New Roman"/>
          <w:sz w:val="24"/>
          <w:szCs w:val="24"/>
        </w:rPr>
        <w:t xml:space="preserve">. </w:t>
      </w:r>
      <w:r w:rsidRPr="001E5868">
        <w:rPr>
          <w:rFonts w:ascii="Times New Roman" w:eastAsia="Times New Roman" w:hAnsi="Times New Roman" w:cs="Times New Roman"/>
          <w:sz w:val="24"/>
          <w:szCs w:val="24"/>
          <w:lang w:val="en-US"/>
        </w:rPr>
        <w:t>Si bien la cantidad absoluta de instituciones está fuertemente influenciada por la densidad poblacional, los indicadores por cada 1000 habitantes permiten detectar políticas de cobertura que buscan garantizar el acceso equitativo, incluso en zonas menos pobladas.</w:t>
      </w:r>
    </w:p>
    <w:p w:rsidR="001E5868" w:rsidRPr="001E5868" w:rsidRDefault="001E5868" w:rsidP="001E5868">
      <w:pPr>
        <w:spacing w:before="100" w:beforeAutospacing="1" w:after="100" w:afterAutospacing="1" w:line="240" w:lineRule="auto"/>
        <w:rPr>
          <w:rFonts w:ascii="Times New Roman" w:eastAsia="Times New Roman" w:hAnsi="Times New Roman" w:cs="Times New Roman"/>
          <w:sz w:val="24"/>
          <w:szCs w:val="24"/>
          <w:lang w:val="en-US"/>
        </w:rPr>
      </w:pPr>
      <w:r w:rsidRPr="001E5868">
        <w:rPr>
          <w:rFonts w:ascii="Times New Roman" w:eastAsia="Times New Roman" w:hAnsi="Times New Roman" w:cs="Times New Roman"/>
          <w:sz w:val="24"/>
          <w:szCs w:val="24"/>
          <w:lang w:val="en-US"/>
        </w:rPr>
        <w:t xml:space="preserve">Los gráficos también evidencian </w:t>
      </w:r>
      <w:r w:rsidRPr="001E5868">
        <w:rPr>
          <w:rFonts w:ascii="Times New Roman" w:eastAsia="Times New Roman" w:hAnsi="Times New Roman" w:cs="Times New Roman"/>
          <w:b/>
          <w:bCs/>
          <w:sz w:val="24"/>
          <w:szCs w:val="24"/>
          <w:lang w:val="en-US"/>
        </w:rPr>
        <w:t>diferencias territoriales relevantes</w:t>
      </w:r>
      <w:r w:rsidRPr="001E5868">
        <w:rPr>
          <w:rFonts w:ascii="Times New Roman" w:eastAsia="Times New Roman" w:hAnsi="Times New Roman" w:cs="Times New Roman"/>
          <w:sz w:val="24"/>
          <w:szCs w:val="24"/>
          <w:lang w:val="en-US"/>
        </w:rPr>
        <w:t xml:space="preserve">: algunas provincias presentan una distribución más homogénea de sus recursos educativos y culturales, mientras que otras evidencian fuertes desequilibrios entre sus departamentos. Esto sugiere que no solo importa cuántas instituciones existen, sino </w:t>
      </w:r>
      <w:r w:rsidRPr="001E5868">
        <w:rPr>
          <w:rFonts w:ascii="Times New Roman" w:eastAsia="Times New Roman" w:hAnsi="Times New Roman" w:cs="Times New Roman"/>
          <w:b/>
          <w:bCs/>
          <w:sz w:val="24"/>
          <w:szCs w:val="24"/>
          <w:lang w:val="en-US"/>
        </w:rPr>
        <w:t>cómo se distribuyen geográficamente</w:t>
      </w:r>
      <w:r w:rsidRPr="001E5868">
        <w:rPr>
          <w:rFonts w:ascii="Times New Roman" w:eastAsia="Times New Roman" w:hAnsi="Times New Roman" w:cs="Times New Roman"/>
          <w:sz w:val="24"/>
          <w:szCs w:val="24"/>
          <w:lang w:val="en-US"/>
        </w:rPr>
        <w:t>.</w:t>
      </w:r>
    </w:p>
    <w:p w:rsidR="001E5868" w:rsidRPr="001E5868" w:rsidRDefault="001E5868" w:rsidP="001E5868">
      <w:pPr>
        <w:spacing w:before="100" w:beforeAutospacing="1" w:after="100" w:afterAutospacing="1" w:line="240" w:lineRule="auto"/>
        <w:rPr>
          <w:rFonts w:ascii="Times New Roman" w:eastAsia="Times New Roman" w:hAnsi="Times New Roman" w:cs="Times New Roman"/>
          <w:sz w:val="24"/>
          <w:szCs w:val="24"/>
          <w:lang w:val="en-US"/>
        </w:rPr>
      </w:pPr>
      <w:r w:rsidRPr="001E5868">
        <w:rPr>
          <w:rFonts w:ascii="Times New Roman" w:eastAsia="Times New Roman" w:hAnsi="Times New Roman" w:cs="Times New Roman"/>
          <w:sz w:val="24"/>
          <w:szCs w:val="24"/>
          <w:lang w:val="en-US"/>
        </w:rPr>
        <w:t>En conjunto, el análisis visual permitió detectar patrones, correlaciones y excepciones que enriquecen la comprensión del problema planteado, y constituyen una base sólida para reflexionar sobre el grado de equidad en la distribución de oportunidades educativas y culturales en el país.</w:t>
      </w:r>
    </w:p>
    <w:p w:rsidR="00A70FD2" w:rsidRDefault="00A70FD2"/>
    <w:sectPr w:rsidR="00A70F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EEF"/>
    <w:rsid w:val="001E5868"/>
    <w:rsid w:val="006A1EEF"/>
    <w:rsid w:val="00A70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EF6E3"/>
  <w15:chartTrackingRefBased/>
  <w15:docId w15:val="{9ED0D98D-DFAC-45AB-8F98-49B7638AA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2">
    <w:name w:val="heading 2"/>
    <w:basedOn w:val="Normal"/>
    <w:link w:val="Ttulo2Car"/>
    <w:uiPriority w:val="9"/>
    <w:qFormat/>
    <w:rsid w:val="001E586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E5868"/>
    <w:rPr>
      <w:rFonts w:ascii="Times New Roman" w:eastAsia="Times New Roman" w:hAnsi="Times New Roman" w:cs="Times New Roman"/>
      <w:b/>
      <w:bCs/>
      <w:sz w:val="36"/>
      <w:szCs w:val="36"/>
    </w:rPr>
  </w:style>
  <w:style w:type="character" w:styleId="Textoennegrita">
    <w:name w:val="Strong"/>
    <w:basedOn w:val="Fuentedeprrafopredeter"/>
    <w:uiPriority w:val="22"/>
    <w:qFormat/>
    <w:rsid w:val="001E58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70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Maru</dc:creator>
  <cp:keywords/>
  <dc:description/>
  <cp:lastModifiedBy>Maru</cp:lastModifiedBy>
  <cp:revision>2</cp:revision>
  <dcterms:created xsi:type="dcterms:W3CDTF">2025-05-20T21:17:00Z</dcterms:created>
  <dcterms:modified xsi:type="dcterms:W3CDTF">2025-05-20T21:17:00Z</dcterms:modified>
</cp:coreProperties>
</file>