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 xml:space="preserve">Fabrício Benevenuto, Alberto H. </w:t>
      </w:r>
      <w:r>
        <w:rPr>
          <w:rFonts w:ascii="Georgia" w:hAnsi="Georgia" w:cs="Arial"/>
          <w:sz w:val="26"/>
          <w:szCs w:val="26"/>
          <w:lang w:val="pt-BR"/>
        </w:rPr>
        <w:t xml:space="preserve">F. </w:t>
      </w:r>
      <w:proofErr w:type="spellStart"/>
      <w:r>
        <w:rPr>
          <w:rFonts w:ascii="Georgia" w:hAnsi="Georgia" w:cs="Arial"/>
          <w:sz w:val="26"/>
          <w:szCs w:val="26"/>
          <w:lang w:val="pt-BR"/>
        </w:rPr>
        <w:t>Laender</w:t>
      </w:r>
      <w:proofErr w:type="spellEnd"/>
      <w:r w:rsidR="008733E2">
        <w:rPr>
          <w:rFonts w:ascii="Georgia" w:hAnsi="Georgia" w:cs="Arial"/>
          <w:sz w:val="26"/>
          <w:szCs w:val="26"/>
          <w:lang w:val="pt-BR"/>
        </w:rPr>
        <w:t>,</w:t>
      </w:r>
      <w:r w:rsidR="008733E2" w:rsidRPr="008733E2">
        <w:rPr>
          <w:rFonts w:ascii="Georgia" w:hAnsi="Georgia" w:cs="Arial"/>
          <w:sz w:val="26"/>
          <w:szCs w:val="26"/>
          <w:lang w:val="pt-BR"/>
        </w:rPr>
        <w:t xml:space="preserve"> </w:t>
      </w:r>
      <w:r w:rsidR="008733E2" w:rsidRPr="004C3D8B">
        <w:rPr>
          <w:rFonts w:ascii="Georgia" w:hAnsi="Georgia" w:cs="Arial"/>
          <w:sz w:val="26"/>
          <w:szCs w:val="26"/>
          <w:lang w:val="pt-BR"/>
        </w:rPr>
        <w:t>Bruno L</w:t>
      </w:r>
      <w:r w:rsidR="008733E2">
        <w:rPr>
          <w:rFonts w:ascii="Georgia" w:hAnsi="Georgia" w:cs="Arial"/>
          <w:sz w:val="26"/>
          <w:szCs w:val="26"/>
          <w:lang w:val="pt-BR"/>
        </w:rPr>
        <w:t>eite Alves</w:t>
      </w:r>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4C3D8B" w:rsidRDefault="00711515" w:rsidP="00F46B14">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D55CE3" w:rsidRDefault="00D55CE3"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i/>
          <w:sz w:val="26"/>
          <w:szCs w:val="26"/>
        </w:rPr>
      </w:pPr>
      <w:r w:rsidRPr="009836BD">
        <w:rPr>
          <w:rFonts w:ascii="Georgia" w:hAnsi="Georgia" w:cs="Arial"/>
          <w:b/>
          <w:i/>
          <w:sz w:val="26"/>
          <w:szCs w:val="26"/>
        </w:rPr>
        <w:t>Abstract</w:t>
      </w:r>
      <w:r w:rsidR="00F46B14">
        <w:rPr>
          <w:rFonts w:ascii="Georgia" w:hAnsi="Georgia" w:cs="Arial"/>
          <w:i/>
          <w:sz w:val="26"/>
          <w:szCs w:val="26"/>
        </w:rPr>
        <w:t>.</w:t>
      </w:r>
      <w:r w:rsidRPr="00D55CE3">
        <w:rPr>
          <w:rFonts w:ascii="Georgia" w:hAnsi="Georgia" w:cs="Arial"/>
          <w:i/>
          <w:sz w:val="26"/>
          <w:szCs w:val="26"/>
        </w:rPr>
        <w:t xml:space="preserve"> H-index is a metric widely used </w:t>
      </w:r>
      <w:r>
        <w:rPr>
          <w:rFonts w:ascii="Georgia" w:hAnsi="Georgia" w:cs="Arial"/>
          <w:i/>
          <w:sz w:val="26"/>
          <w:szCs w:val="26"/>
        </w:rPr>
        <w:t xml:space="preserve">in academia </w:t>
      </w:r>
      <w:r w:rsidRPr="00D55CE3">
        <w:rPr>
          <w:rFonts w:ascii="Georgia" w:hAnsi="Georgia" w:cs="Arial"/>
          <w:i/>
          <w:sz w:val="26"/>
          <w:szCs w:val="26"/>
        </w:rPr>
        <w:t xml:space="preserve">to capture </w:t>
      </w:r>
      <w:r w:rsidR="009836BD">
        <w:rPr>
          <w:rFonts w:ascii="Georgia" w:hAnsi="Georgia" w:cs="Arial"/>
          <w:i/>
          <w:sz w:val="26"/>
          <w:szCs w:val="26"/>
        </w:rPr>
        <w:t>both,</w:t>
      </w:r>
      <w:r>
        <w:rPr>
          <w:rFonts w:ascii="Georgia" w:hAnsi="Georgia" w:cs="Arial"/>
          <w:i/>
          <w:sz w:val="26"/>
          <w:szCs w:val="26"/>
        </w:rPr>
        <w:t xml:space="preserve"> quality and quantity</w:t>
      </w:r>
      <w:r w:rsidR="009836BD">
        <w:rPr>
          <w:rFonts w:ascii="Georgia" w:hAnsi="Georgia" w:cs="Arial"/>
          <w:i/>
          <w:sz w:val="26"/>
          <w:szCs w:val="26"/>
        </w:rPr>
        <w:t>,</w:t>
      </w:r>
      <w:r>
        <w:rPr>
          <w:rFonts w:ascii="Georgia" w:hAnsi="Georgia" w:cs="Arial"/>
          <w:i/>
          <w:sz w:val="26"/>
          <w:szCs w:val="26"/>
        </w:rPr>
        <w:t xml:space="preserve"> of one’ scientific </w:t>
      </w:r>
      <w:r w:rsidR="009836BD">
        <w:rPr>
          <w:rFonts w:ascii="Georgia" w:hAnsi="Georgia" w:cs="Arial"/>
          <w:i/>
          <w:sz w:val="26"/>
          <w:szCs w:val="26"/>
        </w:rPr>
        <w:t xml:space="preserve">output. It is natural to expect that researchers </w:t>
      </w:r>
      <w:r w:rsidR="009836BD">
        <w:rPr>
          <w:rFonts w:ascii="Georgia" w:hAnsi="Georgia" w:cs="Arial"/>
          <w:sz w:val="26"/>
          <w:szCs w:val="26"/>
        </w:rPr>
        <w:t xml:space="preserve">may use their coauthors h-indexes as a way to infer whether they, themselves, have an adequate h-index in their research areas. </w:t>
      </w:r>
      <w:r w:rsidR="00063BC0">
        <w:rPr>
          <w:rFonts w:ascii="Georgia" w:hAnsi="Georgia" w:cs="Arial"/>
          <w:i/>
          <w:sz w:val="26"/>
          <w:szCs w:val="26"/>
        </w:rPr>
        <w:t>In this article</w:t>
      </w:r>
      <w:r w:rsidRPr="00D55CE3">
        <w:rPr>
          <w:rFonts w:ascii="Georgia" w:hAnsi="Georgia" w:cs="Arial"/>
          <w:i/>
          <w:sz w:val="26"/>
          <w:szCs w:val="26"/>
        </w:rPr>
        <w:t xml:space="preserve">, we show that if a researcher compares her h-index with those of her coauthors, she might feel bellow the average. We present empirical evidences of this paradox and explore potential consequences of it. </w:t>
      </w:r>
    </w:p>
    <w:p w:rsidR="00D55CE3" w:rsidRPr="00D55CE3" w:rsidRDefault="00D55CE3" w:rsidP="00253362">
      <w:pPr>
        <w:widowControl w:val="0"/>
        <w:autoSpaceDE w:val="0"/>
        <w:autoSpaceDN w:val="0"/>
        <w:adjustRightInd w:val="0"/>
        <w:spacing w:after="260"/>
        <w:jc w:val="both"/>
        <w:rPr>
          <w:rFonts w:ascii="Georgia" w:hAnsi="Georgia" w:cs="Arial"/>
          <w:i/>
          <w:sz w:val="26"/>
          <w:szCs w:val="26"/>
        </w:rPr>
      </w:pPr>
    </w:p>
    <w:p w:rsidR="00D55CE3" w:rsidRPr="004C3D8B" w:rsidRDefault="00D55CE3" w:rsidP="00253362">
      <w:pPr>
        <w:widowControl w:val="0"/>
        <w:autoSpaceDE w:val="0"/>
        <w:autoSpaceDN w:val="0"/>
        <w:adjustRightInd w:val="0"/>
        <w:spacing w:after="260"/>
        <w:jc w:val="both"/>
        <w:rPr>
          <w:rFonts w:ascii="Georgia" w:hAnsi="Georgia" w:cs="Arial"/>
          <w:sz w:val="26"/>
          <w:szCs w:val="26"/>
        </w:rPr>
      </w:pPr>
      <w:r>
        <w:rPr>
          <w:rFonts w:ascii="Georgia" w:hAnsi="Georgia" w:cs="Arial"/>
          <w:b/>
          <w:sz w:val="28"/>
          <w:szCs w:val="26"/>
        </w:rPr>
        <w:t>Introduction</w:t>
      </w: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an individual</w:t>
      </w:r>
      <w:r w:rsidR="00C70C80">
        <w:rPr>
          <w:rFonts w:ascii="Georgia" w:hAnsi="Georgia" w:cs="Arial"/>
          <w:sz w:val="26"/>
          <w:szCs w:val="26"/>
        </w:rPr>
        <w:t>’s scientific research 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Pr>
          <w:rFonts w:ascii="Georgia" w:hAnsi="Georgia" w:cs="Arial"/>
          <w:sz w:val="26"/>
          <w:szCs w:val="26"/>
        </w:rPr>
        <w:t xml:space="preserve">d 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8B2C87">
        <w:rPr>
          <w:rFonts w:ascii="Georgia" w:hAnsi="Georgia" w:cs="Arial"/>
          <w:sz w:val="26"/>
          <w:szCs w:val="26"/>
        </w:rPr>
        <w:t>ds the authors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 xml:space="preserve">help researchers to track their </w:t>
      </w:r>
      <w:r w:rsidR="004F0A39">
        <w:rPr>
          <w:rFonts w:ascii="Georgia" w:hAnsi="Georgia" w:cs="Arial"/>
          <w:sz w:val="26"/>
          <w:szCs w:val="26"/>
        </w:rPr>
        <w:lastRenderedPageBreak/>
        <w:t>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w:t>
      </w:r>
      <w:r w:rsidR="00063BC0">
        <w:rPr>
          <w:rFonts w:ascii="Georgia" w:hAnsi="Georgia" w:cs="Arial"/>
          <w:sz w:val="26"/>
          <w:szCs w:val="26"/>
        </w:rPr>
        <w:t>estimate</w:t>
      </w:r>
      <w:r w:rsidR="007B4BE2">
        <w:rPr>
          <w:rFonts w:ascii="Georgia" w:hAnsi="Georgia" w:cs="Arial"/>
          <w:sz w:val="26"/>
          <w:szCs w:val="26"/>
        </w:rPr>
        <w:t xml:space="preserve">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74241">
        <w:rPr>
          <w:rFonts w:ascii="Georgia" w:hAnsi="Georgia" w:cs="Arial"/>
          <w:sz w:val="26"/>
          <w:szCs w:val="26"/>
        </w:rPr>
        <w:t xml:space="preserve"> you search on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9A3E58">
        <w:rPr>
          <w:rFonts w:ascii="Georgia" w:hAnsi="Georgia" w:cs="Arial"/>
          <w:sz w:val="26"/>
          <w:szCs w:val="26"/>
        </w:rPr>
        <w:t>t is actually fun to browse</w:t>
      </w:r>
      <w:r>
        <w:rPr>
          <w:rFonts w:ascii="Georgia" w:hAnsi="Georgia" w:cs="Arial"/>
          <w:sz w:val="26"/>
          <w:szCs w:val="26"/>
        </w:rPr>
        <w:t xml:space="preserve"> </w:t>
      </w:r>
      <w:r w:rsidR="00D0564A">
        <w:rPr>
          <w:rFonts w:ascii="Georgia" w:hAnsi="Georgia" w:cs="Arial"/>
          <w:sz w:val="26"/>
          <w:szCs w:val="26"/>
        </w:rPr>
        <w:t>other</w:t>
      </w:r>
      <w:r w:rsidR="009A3E58">
        <w:rPr>
          <w:rFonts w:ascii="Georgia" w:hAnsi="Georgia" w:cs="Arial"/>
          <w:sz w:val="26"/>
          <w:szCs w:val="26"/>
        </w:rPr>
        <w:t>s</w:t>
      </w:r>
      <w:r w:rsidR="00D0564A">
        <w:rPr>
          <w:rFonts w:ascii="Georgia" w:hAnsi="Georgia" w:cs="Arial"/>
          <w:sz w:val="26"/>
          <w:szCs w:val="26"/>
        </w:rPr>
        <w:t xml:space="preserve"> profiles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706F09">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w:t>
      </w:r>
      <w:r w:rsidR="00D55CE3">
        <w:rPr>
          <w:rFonts w:ascii="Georgia" w:hAnsi="Georgia" w:cs="Arial"/>
          <w:sz w:val="26"/>
          <w:szCs w:val="26"/>
        </w:rPr>
        <w:t>potential consequences of this paradox to academics</w:t>
      </w:r>
      <w:r w:rsidR="00053C92">
        <w:rPr>
          <w:rFonts w:ascii="Georgia" w:hAnsi="Georgia" w:cs="Arial"/>
          <w:sz w:val="26"/>
          <w:szCs w:val="26"/>
        </w:rPr>
        <w:t xml:space="preserve">.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FE11A6">
        <w:rPr>
          <w:rFonts w:ascii="Georgia" w:hAnsi="Georgia" w:cs="Arial"/>
          <w:sz w:val="26"/>
          <w:szCs w:val="26"/>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h-index </w:t>
      </w:r>
      <w:r w:rsidR="00706F09">
        <w:rPr>
          <w:rFonts w:ascii="Georgia" w:hAnsi="Georgia" w:cs="Arial"/>
          <w:sz w:val="26"/>
          <w:szCs w:val="26"/>
        </w:rPr>
        <w:t xml:space="preserve">for researchers </w:t>
      </w:r>
      <w:r w:rsidR="00053C92">
        <w:rPr>
          <w:rFonts w:ascii="Georgia" w:hAnsi="Georgia" w:cs="Arial"/>
          <w:sz w:val="26"/>
          <w:szCs w:val="26"/>
        </w:rPr>
        <w:t xml:space="preserve">from </w:t>
      </w:r>
      <w:r w:rsidR="00706F09">
        <w:rPr>
          <w:rFonts w:ascii="Georgia" w:hAnsi="Georgia" w:cs="Arial"/>
          <w:sz w:val="26"/>
          <w:szCs w:val="26"/>
        </w:rPr>
        <w:t xml:space="preserve">distinct </w:t>
      </w:r>
      <w:r w:rsidR="00053C92">
        <w:rPr>
          <w:rFonts w:ascii="Georgia" w:hAnsi="Georgia" w:cs="Arial"/>
          <w:sz w:val="26"/>
          <w:szCs w:val="26"/>
        </w:rPr>
        <w:t xml:space="preserve">computer science scientific communities. </w:t>
      </w: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Estimating </w:t>
      </w:r>
      <w:r w:rsidR="00706F09">
        <w:rPr>
          <w:rFonts w:ascii="Georgia" w:hAnsi="Georgia" w:cs="Arial"/>
          <w:b/>
          <w:sz w:val="28"/>
          <w:szCs w:val="26"/>
        </w:rPr>
        <w:t>the h-index of researchers</w:t>
      </w:r>
      <w:r w:rsidR="00933E62">
        <w:rPr>
          <w:rFonts w:ascii="Georgia" w:hAnsi="Georgia" w:cs="Arial"/>
          <w:b/>
          <w:sz w:val="28"/>
          <w:szCs w:val="26"/>
        </w:rPr>
        <w:t xml:space="preserve"> </w:t>
      </w:r>
      <w:r w:rsidR="005A4A99">
        <w:rPr>
          <w:rFonts w:ascii="Georgia" w:hAnsi="Georgia" w:cs="Arial"/>
          <w:b/>
          <w:sz w:val="28"/>
          <w:szCs w:val="26"/>
        </w:rPr>
        <w:t>and their co</w:t>
      </w:r>
      <w:r w:rsidR="00297986">
        <w:rPr>
          <w:rFonts w:ascii="Georgia" w:hAnsi="Georgia" w:cs="Arial"/>
          <w:b/>
          <w:sz w:val="28"/>
          <w:szCs w:val="26"/>
        </w:rPr>
        <w:t>authors</w:t>
      </w:r>
      <w:r w:rsidR="0076144E" w:rsidRPr="0037264E">
        <w:rPr>
          <w:rFonts w:ascii="Georgia" w:hAnsi="Georgia" w:cs="Arial"/>
          <w:b/>
          <w:sz w:val="28"/>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In order to </w:t>
      </w:r>
      <w:r w:rsidR="005B78BC" w:rsidRPr="00FE11A6">
        <w:rPr>
          <w:rFonts w:ascii="Georgia" w:hAnsi="Georgia" w:cs="Arial"/>
          <w:sz w:val="26"/>
          <w:szCs w:val="26"/>
        </w:rPr>
        <w:t>estimate</w:t>
      </w:r>
      <w:r>
        <w:rPr>
          <w:rFonts w:ascii="Georgia" w:hAnsi="Georgia" w:cs="Arial"/>
          <w:sz w:val="26"/>
          <w:szCs w:val="26"/>
        </w:rPr>
        <w:t xml:space="preserve"> the </w:t>
      </w:r>
      <w:r w:rsidR="00D46D96">
        <w:rPr>
          <w:rFonts w:ascii="Georgia" w:hAnsi="Georgia" w:cs="Arial"/>
          <w:sz w:val="26"/>
          <w:szCs w:val="26"/>
        </w:rPr>
        <w:t>researchers</w:t>
      </w:r>
      <w:r w:rsidR="00341562">
        <w:rPr>
          <w:rFonts w:ascii="Georgia" w:hAnsi="Georgia" w:cs="Arial"/>
          <w:sz w:val="26"/>
          <w:szCs w:val="26"/>
        </w:rPr>
        <w:t xml:space="preserve">’ </w:t>
      </w:r>
      <w:r>
        <w:rPr>
          <w:rFonts w:ascii="Georgia" w:hAnsi="Georgia" w:cs="Arial"/>
          <w:sz w:val="26"/>
          <w:szCs w:val="26"/>
        </w:rPr>
        <w:t>h-index</w:t>
      </w:r>
      <w:r w:rsidR="00053C92">
        <w:rPr>
          <w:rFonts w:ascii="Georgia" w:hAnsi="Georgia" w:cs="Arial"/>
          <w:sz w:val="26"/>
          <w:szCs w:val="26"/>
        </w:rPr>
        <w:t xml:space="preserve">es and compare them with the h-indexes of </w:t>
      </w:r>
      <w:r w:rsidR="00341562">
        <w:rPr>
          <w:rFonts w:ascii="Georgia" w:hAnsi="Georgia" w:cs="Arial"/>
          <w:sz w:val="26"/>
          <w:szCs w:val="26"/>
        </w:rPr>
        <w:t>their</w:t>
      </w:r>
      <w:r w:rsidR="00053C92">
        <w:rPr>
          <w:rFonts w:ascii="Georgia" w:hAnsi="Georgia" w:cs="Arial"/>
          <w:sz w:val="26"/>
          <w:szCs w:val="26"/>
        </w:rPr>
        <w:t xml:space="preserve"> coauthors</w:t>
      </w:r>
      <w:r w:rsidR="00341562">
        <w:rPr>
          <w:rFonts w:ascii="Georgia" w:hAnsi="Georgia" w:cs="Arial"/>
          <w:sz w:val="26"/>
          <w:szCs w:val="26"/>
        </w:rPr>
        <w:t>,</w:t>
      </w:r>
      <w:r w:rsidR="00053C92">
        <w:rPr>
          <w:rFonts w:ascii="Georgia" w:hAnsi="Georgia" w:cs="Arial"/>
          <w:sz w:val="26"/>
          <w:szCs w:val="26"/>
        </w:rPr>
        <w:t xml:space="preserve"> </w:t>
      </w:r>
      <w:r w:rsidR="007B61BA">
        <w:rPr>
          <w:rFonts w:ascii="Georgia" w:hAnsi="Georgia" w:cs="Arial"/>
          <w:sz w:val="26"/>
          <w:szCs w:val="26"/>
        </w:rPr>
        <w:t>we need to</w:t>
      </w:r>
      <w:r>
        <w:rPr>
          <w:rFonts w:ascii="Georgia" w:hAnsi="Georgia" w:cs="Arial"/>
          <w:sz w:val="26"/>
          <w:szCs w:val="26"/>
        </w:rPr>
        <w:t xml:space="preserve"> be able to (1) identify the coauthors of a large set of researchers and (2) estimate the h-index of these </w:t>
      </w:r>
      <w:r w:rsidR="00341562">
        <w:rPr>
          <w:rFonts w:ascii="Georgia" w:hAnsi="Georgia" w:cs="Arial"/>
          <w:sz w:val="26"/>
          <w:szCs w:val="26"/>
        </w:rPr>
        <w:t>researchers</w:t>
      </w:r>
      <w:r>
        <w:rPr>
          <w:rFonts w:ascii="Georgia" w:hAnsi="Georgia" w:cs="Arial"/>
          <w:sz w:val="26"/>
          <w:szCs w:val="26"/>
        </w:rPr>
        <w:t xml:space="preserve"> and their coauthors.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053C92">
        <w:rPr>
          <w:rFonts w:ascii="Georgia" w:hAnsi="Georgia" w:cs="Arial"/>
          <w:sz w:val="26"/>
          <w:szCs w:val="26"/>
        </w:rPr>
        <w:t xml:space="preserve">computer science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There are multiple tools that measure the h-index of researcher</w:t>
      </w:r>
      <w:r w:rsidR="005A4A99">
        <w:rPr>
          <w:rFonts w:ascii="Georgia" w:hAnsi="Georgia" w:cs="Arial"/>
          <w:sz w:val="26"/>
          <w:szCs w:val="26"/>
        </w:rPr>
        <w:t>s, out of which Google Scholar</w:t>
      </w:r>
      <w:r w:rsidR="008E10D7">
        <w:rPr>
          <w:rFonts w:ascii="Georgia" w:hAnsi="Georgia" w:cs="Arial"/>
          <w:sz w:val="26"/>
          <w:szCs w:val="26"/>
        </w:rPr>
        <w:t xml:space="preserve"> </w:t>
      </w:r>
      <w:r w:rsidRPr="00CD0F09">
        <w:rPr>
          <w:rFonts w:ascii="Georgia" w:hAnsi="Georgia" w:cs="Arial"/>
          <w:sz w:val="26"/>
          <w:szCs w:val="26"/>
        </w:rPr>
        <w:t xml:space="preserve">is </w:t>
      </w:r>
      <w:r w:rsidR="00540330">
        <w:rPr>
          <w:rFonts w:ascii="Georgia" w:hAnsi="Georgia" w:cs="Arial"/>
          <w:sz w:val="26"/>
          <w:szCs w:val="26"/>
        </w:rPr>
        <w:t xml:space="preserve">today </w:t>
      </w:r>
      <w:r w:rsidRPr="00CD0F09">
        <w:rPr>
          <w:rFonts w:ascii="Georgia" w:hAnsi="Georgia" w:cs="Arial"/>
          <w:sz w:val="26"/>
          <w:szCs w:val="26"/>
        </w:rPr>
        <w:t>the most prominent one.</w:t>
      </w:r>
      <w:r w:rsidR="00250CFF">
        <w:rPr>
          <w:rFonts w:ascii="Georgia" w:hAnsi="Georgia" w:cs="Arial"/>
          <w:sz w:val="26"/>
          <w:szCs w:val="26"/>
        </w:rPr>
        <w:t xml:space="preserve"> </w:t>
      </w:r>
      <w:r w:rsidRPr="00CD0F09">
        <w:rPr>
          <w:rFonts w:ascii="Georgia" w:hAnsi="Georgia" w:cs="Arial"/>
          <w:sz w:val="26"/>
          <w:szCs w:val="26"/>
        </w:rPr>
        <w:t xml:space="preserve">However, to have a </w:t>
      </w:r>
      <w:r w:rsidRPr="00CD0F09">
        <w:rPr>
          <w:rFonts w:ascii="Georgia" w:hAnsi="Georgia" w:cs="Arial"/>
          <w:sz w:val="26"/>
          <w:szCs w:val="26"/>
        </w:rPr>
        <w:lastRenderedPageBreak/>
        <w:t>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Pr="00CD0F09">
        <w:rPr>
          <w:rFonts w:ascii="Georgia" w:hAnsi="Georgia" w:cs="Arial"/>
          <w:sz w:val="26"/>
          <w:szCs w:val="26"/>
        </w:rPr>
        <w:t>the DBLP auth</w:t>
      </w:r>
      <w:r w:rsidR="008E10D7">
        <w:rPr>
          <w:rFonts w:ascii="Georgia" w:hAnsi="Georgia" w:cs="Arial"/>
          <w:sz w:val="26"/>
          <w:szCs w:val="26"/>
        </w:rPr>
        <w:t>ors, we found that less than 30</w:t>
      </w:r>
      <w:r w:rsidRPr="00CD0F09">
        <w:rPr>
          <w:rFonts w:ascii="Georgia" w:hAnsi="Georgia" w:cs="Arial"/>
          <w:sz w:val="26"/>
          <w:szCs w:val="26"/>
        </w:rPr>
        <w:t xml:space="preserve">% of these authors had a profile at Google </w:t>
      </w:r>
      <w:r w:rsidR="007F0157">
        <w:rPr>
          <w:rFonts w:ascii="Georgia" w:hAnsi="Georgia" w:cs="Arial"/>
          <w:sz w:val="26"/>
          <w:szCs w:val="26"/>
        </w:rPr>
        <w:t>C</w:t>
      </w:r>
      <w:r w:rsidRPr="00CD0F09">
        <w:rPr>
          <w:rFonts w:ascii="Georgia" w:hAnsi="Georgia" w:cs="Arial"/>
          <w:sz w:val="26"/>
          <w:szCs w:val="26"/>
        </w:rPr>
        <w:t>itations</w:t>
      </w:r>
      <w:r w:rsidR="00C70C80">
        <w:rPr>
          <w:rFonts w:ascii="Georgia" w:hAnsi="Georgia" w:cs="Arial"/>
          <w:sz w:val="26"/>
          <w:szCs w:val="26"/>
        </w:rPr>
        <w:t xml:space="preserve"> [1</w:t>
      </w:r>
      <w:r w:rsidR="007F0157">
        <w:rPr>
          <w:rFonts w:ascii="Georgia" w:hAnsi="Georgia" w:cs="Arial"/>
          <w:sz w:val="26"/>
          <w:szCs w:val="26"/>
        </w:rPr>
        <w:t>]</w:t>
      </w:r>
      <w:r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 xml:space="preserve">to </w:t>
      </w:r>
      <w:r w:rsidR="00063BC0">
        <w:rPr>
          <w:rFonts w:ascii="Georgia" w:hAnsi="Georgia" w:cs="Arial"/>
          <w:sz w:val="26"/>
          <w:szCs w:val="26"/>
        </w:rPr>
        <w:t>estimate</w:t>
      </w:r>
      <w:r w:rsidRPr="00CD0F09">
        <w:rPr>
          <w:rFonts w:ascii="Georgia" w:hAnsi="Georgia" w:cs="Arial"/>
          <w:sz w:val="26"/>
          <w:szCs w:val="26"/>
        </w:rPr>
        <w:t xml:space="preserve">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crawled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793674" w:rsidRDefault="006B6035"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00FE11A6">
        <w:rPr>
          <w:rFonts w:ascii="Georgia" w:hAnsi="Georgia" w:cs="Arial"/>
          <w:sz w:val="26"/>
          <w:szCs w:val="26"/>
        </w:rPr>
        <w:t xml:space="preserve">we can compare </w:t>
      </w:r>
      <w:r w:rsidR="005D24A6" w:rsidRPr="00B61716">
        <w:rPr>
          <w:rFonts w:ascii="Georgia" w:hAnsi="Georgia" w:cs="Arial"/>
          <w:sz w:val="26"/>
          <w:szCs w:val="26"/>
        </w:rPr>
        <w:t xml:space="preserve">their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r w:rsidR="00D34B39" w:rsidRPr="00B61716">
        <w:rPr>
          <w:rFonts w:ascii="Georgia" w:hAnsi="Georgia" w:cs="Arial"/>
          <w:sz w:val="26"/>
          <w:szCs w:val="26"/>
        </w:rPr>
        <w:t xml:space="preserve">Table </w:t>
      </w:r>
      <w:r w:rsidRPr="00B61716">
        <w:rPr>
          <w:rFonts w:ascii="Georgia" w:hAnsi="Georgia" w:cs="Arial"/>
          <w:sz w:val="26"/>
          <w:szCs w:val="26"/>
        </w:rPr>
        <w:t>1</w:t>
      </w:r>
      <w:r w:rsidR="00D34B39"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00D34B39" w:rsidRPr="00B61716">
        <w:rPr>
          <w:rFonts w:ascii="Georgia" w:hAnsi="Georgia" w:cs="Arial"/>
          <w:sz w:val="26"/>
          <w:szCs w:val="26"/>
        </w:rPr>
        <w:t>. We can note that even focusing in authors that published in flagship conferences of ACM SIGs, the fraction of authors that might be below the averag</w:t>
      </w:r>
      <w:r w:rsidR="00DF2CA1" w:rsidRPr="00B61716">
        <w:rPr>
          <w:rFonts w:ascii="Georgia" w:hAnsi="Georgia" w:cs="Arial"/>
          <w:sz w:val="26"/>
          <w:szCs w:val="26"/>
        </w:rPr>
        <w:t>e is quite high, varying from 69% to 81</w:t>
      </w:r>
      <w:r w:rsidR="00D34B39" w:rsidRPr="00B61716">
        <w:rPr>
          <w:rFonts w:ascii="Georgia" w:hAnsi="Georgia" w:cs="Arial"/>
          <w:sz w:val="26"/>
          <w:szCs w:val="26"/>
        </w:rPr>
        <w:t>%. When</w:t>
      </w:r>
      <w:r w:rsidR="00D34B39">
        <w:rPr>
          <w:rFonts w:ascii="Georgia" w:hAnsi="Georgia" w:cs="Arial"/>
          <w:sz w:val="26"/>
          <w:szCs w:val="26"/>
        </w:rPr>
        <w:t xml:space="preserve"> we look at </w:t>
      </w:r>
      <w:r w:rsidR="00DF2CA1">
        <w:rPr>
          <w:rFonts w:ascii="Georgia" w:hAnsi="Georgia" w:cs="Arial"/>
          <w:sz w:val="26"/>
          <w:szCs w:val="26"/>
        </w:rPr>
        <w:t xml:space="preserve">the </w:t>
      </w:r>
      <w:r w:rsidR="00D34B39">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sidR="00D34B39">
        <w:rPr>
          <w:rFonts w:ascii="Georgia" w:hAnsi="Georgia" w:cs="Arial"/>
          <w:sz w:val="26"/>
          <w:szCs w:val="26"/>
        </w:rPr>
        <w:t xml:space="preserve">, the numbers are higher than 90% for most of the conferences. </w:t>
      </w:r>
    </w:p>
    <w:p w:rsidR="00793674" w:rsidRDefault="00793674" w:rsidP="00793674">
      <w:pPr>
        <w:widowControl w:val="0"/>
        <w:autoSpaceDE w:val="0"/>
        <w:autoSpaceDN w:val="0"/>
        <w:adjustRightInd w:val="0"/>
        <w:spacing w:after="260"/>
        <w:jc w:val="both"/>
        <w:rPr>
          <w:rFonts w:ascii="Georgia" w:hAnsi="Georgia" w:cs="Arial"/>
          <w:sz w:val="26"/>
          <w:szCs w:val="26"/>
        </w:rPr>
      </w:pP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lastRenderedPageBreak/>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D96A81" w:rsidRPr="00063BC0" w:rsidRDefault="00964D80" w:rsidP="00063BC0">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w:t>
      </w:r>
      <w:r w:rsidR="00063BC0">
        <w:rPr>
          <w:rFonts w:ascii="Georgia" w:hAnsi="Georgia" w:cs="Arial"/>
          <w:sz w:val="26"/>
          <w:szCs w:val="26"/>
        </w:rPr>
        <w:t>es</w:t>
      </w:r>
      <w:r w:rsidR="00165AFD">
        <w:rPr>
          <w:rFonts w:ascii="Georgia" w:hAnsi="Georgia" w:cs="Arial"/>
          <w:sz w:val="26"/>
          <w:szCs w:val="26"/>
        </w:rPr>
        <w:t xml:space="preserve">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D96A81" w:rsidRDefault="00D96A81"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t xml:space="preserve">Consequences of the 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lastRenderedPageBreak/>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3A3AEF">
        <w:rPr>
          <w:rFonts w:ascii="Georgia" w:hAnsi="Georgia" w:cs="Arial"/>
          <w:sz w:val="26"/>
          <w:szCs w:val="26"/>
        </w:rPr>
        <w:t xml:space="preserve"> the computer science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E11696" w:rsidRDefault="00E11696" w:rsidP="003A3AEF">
      <w:pPr>
        <w:widowControl w:val="0"/>
        <w:autoSpaceDE w:val="0"/>
        <w:autoSpaceDN w:val="0"/>
        <w:adjustRightInd w:val="0"/>
        <w:jc w:val="both"/>
        <w:rPr>
          <w:rFonts w:ascii="Georgia" w:hAnsi="Georgia" w:cs="Arial"/>
          <w:sz w:val="26"/>
          <w:szCs w:val="26"/>
        </w:rPr>
      </w:pPr>
    </w:p>
    <w:p w:rsidR="00E11696"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w:t>
      </w:r>
      <w:bookmarkStart w:id="0" w:name="_GoBack"/>
      <w:bookmarkEnd w:id="0"/>
      <w:r w:rsidR="00165AFD">
        <w:rPr>
          <w:rFonts w:ascii="Georgia" w:hAnsi="Georgia" w:cs="Arial"/>
          <w:sz w:val="26"/>
          <w:szCs w:val="26"/>
        </w:rPr>
        <w:t xml:space="preserve">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xml:space="preserve">, able to make people remember </w:t>
      </w:r>
      <w:r w:rsidR="00063BC0">
        <w:rPr>
          <w:rFonts w:ascii="Georgia" w:hAnsi="Georgia" w:cs="Arial"/>
          <w:sz w:val="26"/>
          <w:szCs w:val="26"/>
        </w:rPr>
        <w:t>her for this</w:t>
      </w:r>
      <w:r w:rsidR="00FE11A6">
        <w:rPr>
          <w:rFonts w:ascii="Georgia" w:hAnsi="Georgia" w:cs="Arial"/>
          <w:sz w:val="26"/>
          <w:szCs w:val="26"/>
        </w:rPr>
        <w:t xml:space="preserve"> specific</w:t>
      </w:r>
      <w:r w:rsidR="00E11696">
        <w:rPr>
          <w:rFonts w:ascii="Georgia" w:hAnsi="Georgia" w:cs="Arial"/>
          <w:sz w:val="26"/>
          <w:szCs w:val="26"/>
        </w:rPr>
        <w:t xml:space="preserve">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FE11A6" w:rsidRDefault="00FE11A6" w:rsidP="00C139C5">
      <w:pPr>
        <w:widowControl w:val="0"/>
        <w:autoSpaceDE w:val="0"/>
        <w:autoSpaceDN w:val="0"/>
        <w:adjustRightInd w:val="0"/>
        <w:jc w:val="both"/>
        <w:rPr>
          <w:rFonts w:ascii="Georgia" w:hAnsi="Georgia" w:cs="Arial"/>
          <w:sz w:val="26"/>
          <w:szCs w:val="26"/>
        </w:rPr>
      </w:pP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02239E">
        <w:rPr>
          <w:rFonts w:ascii="Georgia" w:hAnsi="Georgia" w:cs="Arial"/>
          <w:sz w:val="26"/>
          <w:szCs w:val="26"/>
        </w:rPr>
        <w:t>ndex paradox says is that</w:t>
      </w:r>
      <w:r>
        <w:rPr>
          <w:rFonts w:ascii="Georgia" w:hAnsi="Georgia" w:cs="Arial"/>
          <w:sz w:val="26"/>
          <w:szCs w:val="26"/>
        </w:rPr>
        <w:t xml:space="preserve"> researchers migh</w:t>
      </w:r>
      <w:r w:rsidR="0002239E">
        <w:rPr>
          <w:rFonts w:ascii="Georgia" w:hAnsi="Georgia" w:cs="Arial"/>
          <w:sz w:val="26"/>
          <w:szCs w:val="26"/>
        </w:rPr>
        <w:t xml:space="preserve">t feel bellow the average in </w:t>
      </w:r>
      <w:r w:rsidR="00063BC0">
        <w:rPr>
          <w:rFonts w:ascii="Georgia" w:hAnsi="Georgia" w:cs="Arial"/>
          <w:sz w:val="26"/>
          <w:szCs w:val="26"/>
        </w:rPr>
        <w:t>comparison with coauthors, thus</w:t>
      </w:r>
      <w:r w:rsidR="0002239E">
        <w:rPr>
          <w:rFonts w:ascii="Georgia" w:hAnsi="Georgia" w:cs="Arial"/>
          <w:sz w:val="26"/>
          <w:szCs w:val="26"/>
        </w:rPr>
        <w:t xml:space="preserve">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sidR="00063BC0">
        <w:rPr>
          <w:rFonts w:ascii="Georgia" w:hAnsi="Georgia" w:cs="Arial"/>
          <w:sz w:val="26"/>
          <w:szCs w:val="26"/>
        </w:rPr>
        <w:t>advance the state-of-the-</w:t>
      </w:r>
      <w:r>
        <w:rPr>
          <w:rFonts w:ascii="Georgia" w:hAnsi="Georgia" w:cs="Arial"/>
          <w:sz w:val="26"/>
          <w:szCs w:val="26"/>
        </w:rPr>
        <w:t xml:space="preserve">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Laender</w:t>
      </w:r>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lastRenderedPageBreak/>
        <w:t>[4</w:t>
      </w:r>
      <w:r w:rsidR="0076144E" w:rsidRPr="00BB119D">
        <w:rPr>
          <w:rFonts w:asciiTheme="majorHAnsi" w:hAnsiTheme="majorHAnsi"/>
          <w:sz w:val="26"/>
          <w:szCs w:val="26"/>
        </w:rPr>
        <w:t xml:space="preserve">] </w:t>
      </w:r>
      <w:r w:rsidR="00186906">
        <w:rPr>
          <w:rFonts w:asciiTheme="majorHAnsi" w:hAnsiTheme="majorHAnsi" w:cs="Arial"/>
          <w:color w:val="222222"/>
          <w:sz w:val="26"/>
          <w:szCs w:val="26"/>
          <w:shd w:val="clear" w:color="auto" w:fill="FFFFFF"/>
        </w:rPr>
        <w:t xml:space="preserve">Feld, Scott L. </w:t>
      </w:r>
      <w:r w:rsidR="00E756FE" w:rsidRPr="00BB119D">
        <w:rPr>
          <w:rFonts w:asciiTheme="majorHAnsi" w:hAnsiTheme="majorHAnsi" w:cs="Arial"/>
          <w:color w:val="222222"/>
          <w:sz w:val="26"/>
          <w:szCs w:val="26"/>
          <w:shd w:val="clear" w:color="auto" w:fill="FFFFFF"/>
        </w:rPr>
        <w:t>Why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ver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00186906">
        <w:rPr>
          <w:rFonts w:asciiTheme="majorHAnsi" w:hAnsiTheme="majorHAnsi" w:cs="Arial"/>
          <w:color w:val="222222"/>
          <w:sz w:val="26"/>
          <w:szCs w:val="26"/>
          <w:shd w:val="clear" w:color="auto" w:fill="FFFFFF"/>
        </w:rPr>
        <w:t xml:space="preserve">Steen, R. G. </w:t>
      </w:r>
      <w:r w:rsidRPr="00BB119D">
        <w:rPr>
          <w:rFonts w:asciiTheme="majorHAnsi" w:hAnsiTheme="majorHAnsi" w:cs="Arial"/>
          <w:color w:val="222222"/>
          <w:sz w:val="26"/>
          <w:szCs w:val="26"/>
          <w:shd w:val="clear" w:color="auto" w:fill="FFFFFF"/>
        </w:rPr>
        <w:t xml:space="preserve">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sectPr w:rsidR="0076144E" w:rsidRPr="0030126D"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3E0" w:rsidRDefault="000923E0" w:rsidP="00540330">
      <w:r>
        <w:separator/>
      </w:r>
    </w:p>
  </w:endnote>
  <w:endnote w:type="continuationSeparator" w:id="0">
    <w:p w:rsidR="000923E0" w:rsidRDefault="000923E0"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3E0" w:rsidRDefault="000923E0" w:rsidP="00540330">
      <w:r>
        <w:separator/>
      </w:r>
    </w:p>
  </w:footnote>
  <w:footnote w:type="continuationSeparator" w:id="0">
    <w:p w:rsidR="000923E0" w:rsidRDefault="000923E0" w:rsidP="00540330">
      <w:r>
        <w:continuationSeparator/>
      </w:r>
    </w:p>
  </w:footnote>
  <w:footnote w:id="1">
    <w:p w:rsidR="005674F0" w:rsidRDefault="005674F0">
      <w:pPr>
        <w:pStyle w:val="Textodenotaderodap"/>
      </w:pPr>
      <w:r>
        <w:rPr>
          <w:rStyle w:val="Refdenotaderodap"/>
        </w:rPr>
        <w:footnoteRef/>
      </w:r>
      <w:r>
        <w:t xml:space="preserve"> </w:t>
      </w:r>
      <w:r w:rsidRPr="00241227">
        <w:t>http://scholar.google.com</w:t>
      </w:r>
    </w:p>
  </w:footnote>
  <w:footnote w:id="2">
    <w:p w:rsidR="005674F0" w:rsidRDefault="005674F0">
      <w:pPr>
        <w:pStyle w:val="Textodenotaderodap"/>
      </w:pPr>
      <w:r>
        <w:rPr>
          <w:rStyle w:val="Refdenotaderodap"/>
        </w:rPr>
        <w:footnoteRef/>
      </w:r>
      <w:r>
        <w:t xml:space="preserve"> http://arnetminer.org</w:t>
      </w:r>
    </w:p>
  </w:footnote>
  <w:footnote w:id="3">
    <w:p w:rsidR="005674F0" w:rsidRPr="00D46D96" w:rsidRDefault="005674F0">
      <w:pPr>
        <w:pStyle w:val="Textodenotaderodap"/>
      </w:pPr>
      <w:r>
        <w:rPr>
          <w:rStyle w:val="Refdenotaderodap"/>
        </w:rPr>
        <w:footnoteRef/>
      </w:r>
      <w:r>
        <w:t xml:space="preserve"> </w:t>
      </w:r>
      <w:r w:rsidRPr="00186906">
        <w:t>http://www.informatik.uni-trier.de/~ley/db/</w:t>
      </w:r>
    </w:p>
  </w:footnote>
  <w:footnote w:id="4">
    <w:p w:rsidR="005674F0" w:rsidRDefault="005674F0" w:rsidP="007F0157">
      <w:pPr>
        <w:pStyle w:val="Textodenotaderodap"/>
      </w:pPr>
      <w:r>
        <w:rPr>
          <w:rStyle w:val="Refdenotaderodap"/>
        </w:rPr>
        <w:footnoteRef/>
      </w:r>
      <w:r w:rsidRPr="00D46D96">
        <w:t xml:space="preserve"> </w:t>
      </w:r>
      <w:r w:rsidRPr="00186906">
        <w:t>http://shine.icomp.ufam.edu.br/</w:t>
      </w:r>
    </w:p>
    <w:p w:rsidR="005674F0" w:rsidRPr="00D46D96" w:rsidRDefault="005674F0"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3BC0"/>
    <w:rsid w:val="00065A69"/>
    <w:rsid w:val="00074943"/>
    <w:rsid w:val="000923E0"/>
    <w:rsid w:val="000A4EDF"/>
    <w:rsid w:val="000E2F58"/>
    <w:rsid w:val="00165AFD"/>
    <w:rsid w:val="00186906"/>
    <w:rsid w:val="00197EDD"/>
    <w:rsid w:val="001B0AFA"/>
    <w:rsid w:val="001D7CC2"/>
    <w:rsid w:val="00222CC7"/>
    <w:rsid w:val="00231EAF"/>
    <w:rsid w:val="00232607"/>
    <w:rsid w:val="002367A6"/>
    <w:rsid w:val="00241227"/>
    <w:rsid w:val="0024172A"/>
    <w:rsid w:val="00250CFF"/>
    <w:rsid w:val="00253362"/>
    <w:rsid w:val="002609F7"/>
    <w:rsid w:val="002767E4"/>
    <w:rsid w:val="002918C7"/>
    <w:rsid w:val="00297986"/>
    <w:rsid w:val="00302012"/>
    <w:rsid w:val="00310550"/>
    <w:rsid w:val="003177A7"/>
    <w:rsid w:val="00322F9E"/>
    <w:rsid w:val="00341562"/>
    <w:rsid w:val="00345356"/>
    <w:rsid w:val="00352731"/>
    <w:rsid w:val="00380751"/>
    <w:rsid w:val="003A3AEF"/>
    <w:rsid w:val="003E2691"/>
    <w:rsid w:val="003F7DD2"/>
    <w:rsid w:val="00433BE2"/>
    <w:rsid w:val="004502B5"/>
    <w:rsid w:val="00484F16"/>
    <w:rsid w:val="004C3D8B"/>
    <w:rsid w:val="004E0887"/>
    <w:rsid w:val="004F0A39"/>
    <w:rsid w:val="00521ED3"/>
    <w:rsid w:val="00537735"/>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372E"/>
    <w:rsid w:val="00706F09"/>
    <w:rsid w:val="00711515"/>
    <w:rsid w:val="0076144E"/>
    <w:rsid w:val="007702B0"/>
    <w:rsid w:val="00772C95"/>
    <w:rsid w:val="00793674"/>
    <w:rsid w:val="007B4BE2"/>
    <w:rsid w:val="007B61BA"/>
    <w:rsid w:val="007F0157"/>
    <w:rsid w:val="007F30FA"/>
    <w:rsid w:val="007F3B82"/>
    <w:rsid w:val="007F63A1"/>
    <w:rsid w:val="007F7882"/>
    <w:rsid w:val="0082485C"/>
    <w:rsid w:val="0086417C"/>
    <w:rsid w:val="008733E2"/>
    <w:rsid w:val="008835F8"/>
    <w:rsid w:val="00890AA8"/>
    <w:rsid w:val="008B2C87"/>
    <w:rsid w:val="008E01EC"/>
    <w:rsid w:val="008E10D7"/>
    <w:rsid w:val="008E5FF7"/>
    <w:rsid w:val="008F34F5"/>
    <w:rsid w:val="00915FFF"/>
    <w:rsid w:val="00925FE0"/>
    <w:rsid w:val="00933797"/>
    <w:rsid w:val="00933E62"/>
    <w:rsid w:val="00941D6D"/>
    <w:rsid w:val="0094358C"/>
    <w:rsid w:val="00964D80"/>
    <w:rsid w:val="00971F38"/>
    <w:rsid w:val="00974241"/>
    <w:rsid w:val="009836BD"/>
    <w:rsid w:val="009A3E58"/>
    <w:rsid w:val="009B1E73"/>
    <w:rsid w:val="009F4BF9"/>
    <w:rsid w:val="00A03DD2"/>
    <w:rsid w:val="00A139FB"/>
    <w:rsid w:val="00A15A77"/>
    <w:rsid w:val="00A402FB"/>
    <w:rsid w:val="00A93059"/>
    <w:rsid w:val="00AD282F"/>
    <w:rsid w:val="00AE7D7D"/>
    <w:rsid w:val="00AF379E"/>
    <w:rsid w:val="00B506B3"/>
    <w:rsid w:val="00B61716"/>
    <w:rsid w:val="00B66385"/>
    <w:rsid w:val="00B778EE"/>
    <w:rsid w:val="00BA43F5"/>
    <w:rsid w:val="00BB119D"/>
    <w:rsid w:val="00BB19CF"/>
    <w:rsid w:val="00BB4FC4"/>
    <w:rsid w:val="00BE0405"/>
    <w:rsid w:val="00C139C5"/>
    <w:rsid w:val="00C30B22"/>
    <w:rsid w:val="00C349A4"/>
    <w:rsid w:val="00C70C80"/>
    <w:rsid w:val="00C725B3"/>
    <w:rsid w:val="00C72B4B"/>
    <w:rsid w:val="00C82778"/>
    <w:rsid w:val="00C92783"/>
    <w:rsid w:val="00C95CB4"/>
    <w:rsid w:val="00CD0F09"/>
    <w:rsid w:val="00CF6750"/>
    <w:rsid w:val="00D0564A"/>
    <w:rsid w:val="00D14BC3"/>
    <w:rsid w:val="00D20FBA"/>
    <w:rsid w:val="00D34B39"/>
    <w:rsid w:val="00D42F89"/>
    <w:rsid w:val="00D46D96"/>
    <w:rsid w:val="00D55CE3"/>
    <w:rsid w:val="00D809AF"/>
    <w:rsid w:val="00D810D7"/>
    <w:rsid w:val="00D825D5"/>
    <w:rsid w:val="00D96A81"/>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5730E"/>
    <w:rsid w:val="00E756FE"/>
    <w:rsid w:val="00EC478B"/>
    <w:rsid w:val="00EF53C7"/>
    <w:rsid w:val="00F2217A"/>
    <w:rsid w:val="00F410AC"/>
    <w:rsid w:val="00F46B14"/>
    <w:rsid w:val="00FB37BE"/>
    <w:rsid w:val="00FD7189"/>
    <w:rsid w:val="00FE0464"/>
    <w:rsid w:val="00FE11A6"/>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096437687">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0.74000000000000143</c:v>
                </c:pt>
                <c:pt idx="3">
                  <c:v>0.74000000000000143</c:v>
                </c:pt>
                <c:pt idx="4">
                  <c:v>0.75000000000000144</c:v>
                </c:pt>
                <c:pt idx="5">
                  <c:v>0.7000000000000014</c:v>
                </c:pt>
                <c:pt idx="6">
                  <c:v>0.76000000000000145</c:v>
                </c:pt>
                <c:pt idx="7">
                  <c:v>0.71000000000000141</c:v>
                </c:pt>
                <c:pt idx="8">
                  <c:v>0.69000000000000161</c:v>
                </c:pt>
                <c:pt idx="9">
                  <c:v>0.77000000000000124</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0.9500000000000014</c:v>
                </c:pt>
                <c:pt idx="1">
                  <c:v>0.94000000000000139</c:v>
                </c:pt>
                <c:pt idx="2">
                  <c:v>0.92</c:v>
                </c:pt>
                <c:pt idx="3">
                  <c:v>0.92</c:v>
                </c:pt>
                <c:pt idx="4">
                  <c:v>0.93</c:v>
                </c:pt>
                <c:pt idx="5">
                  <c:v>0.87000000000000144</c:v>
                </c:pt>
                <c:pt idx="6">
                  <c:v>0.91</c:v>
                </c:pt>
                <c:pt idx="7">
                  <c:v>0.91</c:v>
                </c:pt>
                <c:pt idx="8">
                  <c:v>0.87000000000000144</c:v>
                </c:pt>
                <c:pt idx="9">
                  <c:v>0.9500000000000014</c:v>
                </c:pt>
              </c:numCache>
            </c:numRef>
          </c:val>
        </c:ser>
        <c:gapWidth val="219"/>
        <c:overlap val="-27"/>
        <c:axId val="72791552"/>
        <c:axId val="72793088"/>
      </c:barChart>
      <c:catAx>
        <c:axId val="72791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793088"/>
        <c:crosses val="autoZero"/>
        <c:auto val="1"/>
        <c:lblAlgn val="ctr"/>
        <c:lblOffset val="100"/>
      </c:catAx>
      <c:valAx>
        <c:axId val="72793088"/>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791552"/>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32BC0A-7EB6-40F4-91B0-A8E51012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1765</Words>
  <Characters>9535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3</cp:revision>
  <cp:lastPrinted>2013-09-18T17:13:00Z</cp:lastPrinted>
  <dcterms:created xsi:type="dcterms:W3CDTF">2013-09-18T19:38:00Z</dcterms:created>
  <dcterms:modified xsi:type="dcterms:W3CDTF">2013-09-19T12:58:00Z</dcterms:modified>
</cp:coreProperties>
</file>