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CSL</w:t>
      </w:r>
    </w:p>
    <w:p>
      <w:r>
        <w:rPr>
          <w:b/>
        </w:rPr>
        <w:t xml:space="preserve">Unidade: </w:t>
      </w:r>
      <w:r>
        <w:t>CSL — Comissão Setorial de Licitação</w:t>
        <w:br/>
      </w:r>
      <w:r>
        <w:rPr>
          <w:b/>
        </w:rPr>
        <w:t xml:space="preserve">Chefia / Interlocutor(a): </w:t>
      </w:r>
      <w:r>
        <w:t>Presidência da CSL</w:t>
        <w:br/>
      </w:r>
      <w:r>
        <w:rPr>
          <w:b/>
        </w:rPr>
        <w:t xml:space="preserve">Processo SEI: </w:t>
      </w:r>
      <w:r>
        <w:t xml:space="preserve">Verificar SEI | </w:t>
      </w:r>
      <w:r>
        <w:rPr>
          <w:b/>
        </w:rPr>
        <w:t xml:space="preserve">Status: </w:t>
      </w:r>
      <w:r>
        <w:t>Reunião Realizada</w:t>
        <w:br/>
      </w:r>
      <w:r>
        <w:rPr>
          <w:b/>
        </w:rPr>
        <w:t xml:space="preserve">KRs Vinculados: </w:t>
      </w:r>
      <w:r>
        <w:t>E2.O2.KR1, E9.O2.KR1 (10 ações)</w:t>
        <w:br/>
      </w:r>
      <w:r>
        <w:rPr>
          <w:b/>
        </w:rPr>
        <w:t xml:space="preserve">Síntese das Deliberações: </w:t>
      </w:r>
      <w:r>
        <w:t>Padronização de artefatos da Lei 14.133/2021, licitações do Profisco III/BID (E3.O1.KR3), compras sustentáveis (E8.O1.KR2) e Painel Compartilhado de Visibilidade Intersetorial (CSL, SCC, SMP e TI).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grupo de trabalho permanente de contratações</w:t>
            </w:r>
          </w:p>
        </w:tc>
        <w:tc>
          <w:tcPr>
            <w:tcW w:type="dxa" w:w="1440"/>
          </w:tcPr>
          <w:p>
            <w:r>
              <w:t>Formalizar GT multidisciplinar composto por PGA, Comissão Setorial de Licitação, Serviço de Controle de Contratos, Finanças, Material e Patrimônio e unidades demandantes, visando governança ágil e integração do ciclo de compras.</w:t>
            </w:r>
          </w:p>
        </w:tc>
        <w:tc>
          <w:tcPr>
            <w:tcW w:type="dxa" w:w="1440"/>
          </w:tcPr>
          <w:p>
            <w:r>
              <w:t>Líder: Procurador-Geral Adjunto; Coexecutores: CSL, Serviço de Controle de Contratos, UGAM, USF</w:t>
            </w:r>
          </w:p>
        </w:tc>
        <w:tc>
          <w:tcPr>
            <w:tcW w:type="dxa" w:w="1440"/>
          </w:tcPr>
          <w:p>
            <w:r>
              <w:t>30 dias</w:t>
            </w:r>
          </w:p>
        </w:tc>
      </w:tr>
      <w:tr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Mapear o fluxo completo de contratação, do pedido ao pagamento (AS-IS e TO-BE)</w:t>
            </w:r>
          </w:p>
        </w:tc>
        <w:tc>
          <w:tcPr>
            <w:tcW w:type="dxa" w:w="1440"/>
          </w:tcPr>
          <w:p>
            <w:r>
              <w:t>Desenhar as etapas atuais (AS-IS) e o fluxo otimizado (TO-BE), mensurando a duração média em cada fase: autuação da demanda, ETP, TR, pesquisa mercadológica, manifestação jurídica referencial, sessão licitatória, homologação, empenho e execução.</w:t>
            </w:r>
          </w:p>
        </w:tc>
        <w:tc>
          <w:tcPr>
            <w:tcW w:type="dxa" w:w="1440"/>
          </w:tcPr>
          <w:p>
            <w:r>
              <w:t>Líder: Procurador-Geral Adjunto; Coexecutores: CSL, Serviço de Controle de Contratos, UGAM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Padronizar artefatos e manifestações processuais de contratação</w:t>
            </w:r>
          </w:p>
        </w:tc>
        <w:tc>
          <w:tcPr>
            <w:tcW w:type="dxa" w:w="1440"/>
          </w:tcPr>
          <w:p>
            <w:r>
              <w:t>Desenvolver e disponibilizar no SEI modelos-padrão institucionais de Estudo Técnico Preliminar (ETP), Termo de Referência (TR), pesquisa de preços, despacho motivador de demanda e pareceres jurídicos referenciais, eliminando retrabalhos e exigências saneadoras recorrentes.</w:t>
            </w:r>
          </w:p>
        </w:tc>
        <w:tc>
          <w:tcPr>
            <w:tcW w:type="dxa" w:w="1440"/>
          </w:tcPr>
          <w:p>
            <w:r>
              <w:t>Líder: Procurador-Geral Adjunto; Coexecutores: CSL, Especializada Consultiva/PGA, Setores Demandantes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checklists obrigatórios de conformidade processual por etapa</w:t>
            </w:r>
          </w:p>
        </w:tc>
        <w:tc>
          <w:tcPr>
            <w:tcW w:type="dxa" w:w="1440"/>
          </w:tcPr>
          <w:p>
            <w:r>
              <w:t>Definir e regulamentar listas de checagem obrigatórias para admissibilidade inicial da demanda, fase interna preparatória, fase externa de habilitação jurídica/técnica e formalização contratual.</w:t>
            </w:r>
          </w:p>
        </w:tc>
        <w:tc>
          <w:tcPr>
            <w:tcW w:type="dxa" w:w="1440"/>
          </w:tcPr>
          <w:p>
            <w:r>
              <w:t>Líder: Procurador-Geral Adjunto; Coexecutores: CSL, Serviço de Controle de Contratos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Segregar carteira estratégica de contratações estruturantes PROFISCO III / BID</w:t>
            </w:r>
          </w:p>
        </w:tc>
        <w:tc>
          <w:tcPr>
            <w:tcW w:type="dxa" w:w="1440"/>
          </w:tcPr>
          <w:p>
            <w:r>
              <w:t>Estruturar rito célere e trilha de acompanhamento prioritário para contratações do PROFISCO III e financiamentos externos, com matriz de riscos dedicada, cronograma alinhado aos marcos do BID e fiscal técnico designado.</w:t>
            </w:r>
          </w:p>
        </w:tc>
        <w:tc>
          <w:tcPr>
            <w:tcW w:type="dxa" w:w="1440"/>
          </w:tcPr>
          <w:p>
            <w:r>
              <w:t>Líder: Procurador-Geral Adjunto; Coexecutores: CSL, Supervisão de Informática, Coordenação PROFISCO III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Realizar reunião executiva mensal de monitoramento do ciclo de compras</w:t>
            </w:r>
          </w:p>
        </w:tc>
        <w:tc>
          <w:tcPr>
            <w:tcW w:type="dxa" w:w="1440"/>
          </w:tcPr>
          <w:p>
            <w:r>
              <w:t>Avaliar mensalmente a duração média dos certames, causas de atraso ou devolução processual, contratações críticas em andamento e alinhamento com o Plano Anual de Contratações.</w:t>
            </w:r>
          </w:p>
        </w:tc>
        <w:tc>
          <w:tcPr>
            <w:tcW w:type="dxa" w:w="1440"/>
          </w:tcPr>
          <w:p>
            <w:r>
              <w:t>Líder: Procurador-Geral Adjunto; Participantes: CSL, Serviço de Controle de Contratos, UGAM, Demandantes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</w:tr>
      <w:tr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Fortalecimento Institucional e Expansão da Capacidade Operacional da CSL (Pleito Prioritário)</w:t>
            </w:r>
          </w:p>
        </w:tc>
        <w:tc>
          <w:tcPr>
            <w:tcW w:type="dxa" w:w="1440"/>
          </w:tcPr>
          <w:p>
            <w:r>
              <w:t>Pleitear formalmente junto à Administração Superior a ampliação do quadro funcional da unidade mediante a alocação de Assessor Técnico (efetivo ou comissionado) ou contratação de Residente Jurídico, superando a sobrecarga de operar com apenas 1 servidor titular e viabilizando a dedicação às rotinas de planejamento e gestão estratégica.</w:t>
            </w:r>
          </w:p>
        </w:tc>
        <w:tc>
          <w:tcPr>
            <w:tcW w:type="dxa" w:w="1440"/>
          </w:tcPr>
          <w:p>
            <w:r>
              <w:t>Liderança: CSL; Instância Deliberativa: Procurador-Geral Adjunto / Procurador-Geral do Estado</w:t>
            </w:r>
          </w:p>
        </w:tc>
        <w:tc>
          <w:tcPr>
            <w:tcW w:type="dxa" w:w="1440"/>
          </w:tcPr>
          <w:p>
            <w:r>
              <w:t>Imediato / Contínuo</w:t>
            </w:r>
          </w:p>
        </w:tc>
      </w:tr>
      <w:tr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Mapeamento Ativo de Necessidades e Diálogo Contínuo com Unidades Demandantes</w:t>
            </w:r>
          </w:p>
        </w:tc>
        <w:tc>
          <w:tcPr>
            <w:tcW w:type="dxa" w:w="1440"/>
          </w:tcPr>
          <w:p>
            <w:r>
              <w:t>Instituir rotina de escuta ativa e pesquisa técnica continuada junto aos setores demandantes da PGE-MA para calibrar previamente os Termos de Referência às particularidades reais das rotinas da Procuradoria, reduzindo impugnações e pedidos de esclarecimento.</w:t>
            </w:r>
          </w:p>
        </w:tc>
        <w:tc>
          <w:tcPr>
            <w:tcW w:type="dxa" w:w="1440"/>
          </w:tcPr>
          <w:p>
            <w:r>
              <w:t>Liderança: CSL; Coexecutores: UGAM, Unidades Demandantes</w:t>
            </w:r>
          </w:p>
        </w:tc>
        <w:tc>
          <w:tcPr>
            <w:tcW w:type="dxa" w:w="1440"/>
          </w:tcPr>
          <w:p>
            <w:r>
              <w:t>180 dias; periodicidade continuada</w:t>
            </w:r>
          </w:p>
        </w:tc>
      </w:tr>
      <w:tr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Implantação de Painel Compartilhado de Visibilidade e Transparência Intersetorial de Demandas</w:t>
            </w:r>
          </w:p>
        </w:tc>
        <w:tc>
          <w:tcPr>
            <w:tcW w:type="dxa" w:w="1440"/>
          </w:tcPr>
          <w:p>
            <w:r>
              <w:t>Desenvolver painel gerencial unificado de acesso compartilhado (dashboard integrado) com o inventário de bens, status de processos licitatórios e cronograma de aquisições entre CSL, Contratos, Patrimônio e TI, superando a peregrinação física intersetorial para levantamento de dados.</w:t>
            </w:r>
          </w:p>
        </w:tc>
        <w:tc>
          <w:tcPr>
            <w:tcW w:type="dxa" w:w="1440"/>
          </w:tcPr>
          <w:p>
            <w:r>
              <w:t>Liderança: CSL, Assessoria em TIC da PGAAE / INOVA (Suporte de Infraestrutura: SI); Apoio: Serviço de Controle de Contratos, Serviço de Material e Patrimônio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Nova Lei de Licitações e Contratos (Lei 14.133/2021), formação de pregoeiros/agentes de contratação, pesquisa de preços, ETP e gestão de riscos nas contratações),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Comissão Setorial de Licitação (CSL);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</w:tbl>
    <w:p>
      <w:pPr>
        <w:pStyle w:val="Heading2"/>
      </w:pPr>
      <w:r>
        <w:t>2. Demandas Externas Recebidas por CSL (15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ASJUR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Consolidar repositório de minutas-padrão de editais, contratos, convênios e pareceres referenciais no SEI/SPA</w:t>
            </w:r>
          </w:p>
        </w:tc>
        <w:tc>
          <w:tcPr>
            <w:tcW w:type="dxa" w:w="2160"/>
          </w:tcPr>
          <w:p>
            <w:r>
              <w:t>Líder: Assessoria Jurídica / Consultoria-Geral; Coexecutores: Assessoria em TIC da PGAAE / INOVA, Comissão Setorial de Licitação (CSL)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licitações e contratações diretas</w:t>
            </w:r>
          </w:p>
        </w:tc>
        <w:tc>
          <w:tcPr>
            <w:tcW w:type="dxa" w:w="2160"/>
          </w:tcPr>
          <w:p>
            <w:r>
              <w:t>Líder: Procuradoria Administrativa; Coexecutores: PGAAE, CSL</w:t>
            </w:r>
          </w:p>
        </w:tc>
      </w:tr>
      <w:tr>
        <w:tc>
          <w:tcPr>
            <w:tcW w:type="dxa" w:w="2160"/>
          </w:tcPr>
          <w:p>
            <w:r>
              <w:t>PJ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Implantar a ferramenta 'Minuta IA' para demandas repetitivas do Grupo 2</w:t>
            </w:r>
          </w:p>
        </w:tc>
        <w:tc>
          <w:tcPr>
            <w:tcW w:type="dxa" w:w="2160"/>
          </w:tcPr>
          <w:p>
            <w:r>
              <w:t>Líder: Procuradoria Judicial; Coexecutores: Assessoria em TIC da PGAAE / INOVA, Comissão Setorial de Licitação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Adequar fluxos e rotinas de resposta rápida a consultas das secretarias sobre terceirização e regime trabalhista</w:t>
            </w:r>
          </w:p>
        </w:tc>
        <w:tc>
          <w:tcPr>
            <w:tcW w:type="dxa" w:w="2160"/>
          </w:tcPr>
          <w:p>
            <w:r>
              <w:t>Líder: Procuradoria Trabalhista; Coexecutores: PGAAJ, CSL, SEGEP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Elaborar minutas padronizadas e pareceres referenciais sobre fiscalização contratual trabalhista</w:t>
            </w:r>
          </w:p>
        </w:tc>
        <w:tc>
          <w:tcPr>
            <w:tcW w:type="dxa" w:w="2160"/>
          </w:tcPr>
          <w:p>
            <w:r>
              <w:t>Líder: Procuradoria Trabalhista; Coexecutores: PGAAJ, CSL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 de fiscalização de contratos terceirizados para os órgãos estaduais</w:t>
            </w:r>
          </w:p>
        </w:tc>
        <w:tc>
          <w:tcPr>
            <w:tcW w:type="dxa" w:w="2160"/>
          </w:tcPr>
          <w:p>
            <w:r>
              <w:t>Líder: Procuradoria Trabalhista; Coexecutores: CSL, ESAP, SEGEP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Mapear a matriz de riscos trabalhistas das contratações terceirizadas de grande porte</w:t>
            </w:r>
          </w:p>
        </w:tc>
        <w:tc>
          <w:tcPr>
            <w:tcW w:type="dxa" w:w="2160"/>
          </w:tcPr>
          <w:p>
            <w:r>
              <w:t>Líder: Procuradoria Trabalhista; Coexecutores: CSL, PGAAJ, SEGEP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E5.O3.KR2</w:t>
            </w:r>
          </w:p>
        </w:tc>
        <w:tc>
          <w:tcPr>
            <w:tcW w:type="dxa" w:w="2160"/>
          </w:tcPr>
          <w:p>
            <w:r>
              <w:t>Implantar reuniões trimestrais de alinhamento com a Comissão Setorial de Licitações e fiscais de contrato</w:t>
            </w:r>
          </w:p>
        </w:tc>
        <w:tc>
          <w:tcPr>
            <w:tcW w:type="dxa" w:w="2160"/>
          </w:tcPr>
          <w:p>
            <w:r>
              <w:t>Líder: Procuradoria Trabalhista; Coexecutores: CSL, SEGEP</w:t>
            </w:r>
          </w:p>
        </w:tc>
      </w:tr>
      <w:tr>
        <w:tc>
          <w:tcPr>
            <w:tcW w:type="dxa" w:w="2160"/>
          </w:tcPr>
          <w:p>
            <w:r>
              <w:t>SCC</w:t>
            </w:r>
          </w:p>
        </w:tc>
        <w:tc>
          <w:tcPr>
            <w:tcW w:type="dxa" w:w="2160"/>
          </w:tcPr>
          <w:p>
            <w:r>
              <w:t>E2.O2.KR2</w:t>
            </w:r>
          </w:p>
        </w:tc>
        <w:tc>
          <w:tcPr>
            <w:tcW w:type="dxa" w:w="2160"/>
          </w:tcPr>
          <w:p>
            <w:r>
              <w:t>Criar rotina preventiva de conformidade contratual</w:t>
            </w:r>
          </w:p>
        </w:tc>
        <w:tc>
          <w:tcPr>
            <w:tcW w:type="dxa" w:w="2160"/>
          </w:tcPr>
          <w:p>
            <w:r>
              <w:t>Líder: Serviço de Controle de Contratos; Coexecutores: Comissão Setorial de Licitação (CSL); Unidade Setorial de Finanças (USF)</w:t>
            </w:r>
          </w:p>
        </w:tc>
      </w:tr>
      <w:tr>
        <w:tc>
          <w:tcPr>
            <w:tcW w:type="dxa" w:w="2160"/>
          </w:tcPr>
          <w:p>
            <w:r>
              <w:t>SCC</w:t>
            </w:r>
          </w:p>
        </w:tc>
        <w:tc>
          <w:tcPr>
            <w:tcW w:type="dxa" w:w="2160"/>
          </w:tcPr>
          <w:p>
            <w:r>
              <w:t>E2.O2.KR3</w:t>
            </w:r>
          </w:p>
        </w:tc>
        <w:tc>
          <w:tcPr>
            <w:tcW w:type="dxa" w:w="2160"/>
          </w:tcPr>
          <w:p>
            <w:r>
              <w:t>Implantar sistema automatizado de alerta de vencimentos contratuais</w:t>
            </w:r>
          </w:p>
        </w:tc>
        <w:tc>
          <w:tcPr>
            <w:tcW w:type="dxa" w:w="2160"/>
          </w:tcPr>
          <w:p>
            <w:r>
              <w:t>Líder: Serviço de Controle de Contratos; Coexecutores: Assessoria em TIC da PGAAE / INOVA (Suporte de Infraestrutura: SI); Comissão Setorial de Licitação (CSL)</w:t>
            </w:r>
          </w:p>
        </w:tc>
      </w:tr>
      <w:tr>
        <w:tc>
          <w:tcPr>
            <w:tcW w:type="dxa" w:w="2160"/>
          </w:tcPr>
          <w:p>
            <w:r>
              <w:t>SCC</w:t>
            </w:r>
          </w:p>
        </w:tc>
        <w:tc>
          <w:tcPr>
            <w:tcW w:type="dxa" w:w="2160"/>
          </w:tcPr>
          <w:p>
            <w:r>
              <w:t>E2.O2.KR3</w:t>
            </w:r>
          </w:p>
        </w:tc>
        <w:tc>
          <w:tcPr>
            <w:tcW w:type="dxa" w:w="2160"/>
          </w:tcPr>
          <w:p>
            <w:r>
              <w:t>Vincular renovações contratuais ao Plano de Contratações Anual (PCA)</w:t>
            </w:r>
          </w:p>
        </w:tc>
        <w:tc>
          <w:tcPr>
            <w:tcW w:type="dxa" w:w="2160"/>
          </w:tcPr>
          <w:p>
            <w:r>
              <w:t>Líder: Serviço de Controle de Contratos; Coexecutores: Comissão Setorial de Licitação (CSL); Unidade Gestora de Atividade Meio (UGAM)</w:t>
            </w:r>
          </w:p>
        </w:tc>
      </w:tr>
      <w:tr>
        <w:tc>
          <w:tcPr>
            <w:tcW w:type="dxa" w:w="2160"/>
          </w:tcPr>
          <w:p>
            <w:r>
              <w:t>SCC</w:t>
            </w:r>
          </w:p>
        </w:tc>
        <w:tc>
          <w:tcPr>
            <w:tcW w:type="dxa" w:w="2160"/>
          </w:tcPr>
          <w:p>
            <w:r>
              <w:t>E2.O2.KR1</w:t>
            </w:r>
          </w:p>
        </w:tc>
        <w:tc>
          <w:tcPr>
            <w:tcW w:type="dxa" w:w="2160"/>
          </w:tcPr>
          <w:p>
            <w:r>
              <w:t>Integrar e alimentar o Painel Compartilhado de Visibilidade Intersetorial (CSL, Contratos, Patrimônio e TI)</w:t>
            </w:r>
          </w:p>
        </w:tc>
        <w:tc>
          <w:tcPr>
            <w:tcW w:type="dxa" w:w="2160"/>
          </w:tcPr>
          <w:p>
            <w:r>
              <w:t>Líder: Serviço de Controle de Contratos (SCC); Coexecutores: Comissão Setorial de Licitação (CSL), Serviço de Material e Patrimônio (SMP), Assessoria em TIC da PGAAE / INOVA</w:t>
            </w:r>
          </w:p>
        </w:tc>
      </w:tr>
      <w:tr>
        <w:tc>
          <w:tcPr>
            <w:tcW w:type="dxa" w:w="2160"/>
          </w:tcPr>
          <w:p>
            <w:r>
              <w:t>SMP</w:t>
            </w:r>
          </w:p>
        </w:tc>
        <w:tc>
          <w:tcPr>
            <w:tcW w:type="dxa" w:w="2160"/>
          </w:tcPr>
          <w:p>
            <w:r>
              <w:t>E2.O2.KR1</w:t>
            </w:r>
          </w:p>
        </w:tc>
        <w:tc>
          <w:tcPr>
            <w:tcW w:type="dxa" w:w="2160"/>
          </w:tcPr>
          <w:p>
            <w:r>
              <w:t>Integrar e alimentar o Painel Compartilhado de Visibilidade Intersetorial (CSL, Contratos, Patrimônio e TI)</w:t>
            </w:r>
          </w:p>
        </w:tc>
        <w:tc>
          <w:tcPr>
            <w:tcW w:type="dxa" w:w="2160"/>
          </w:tcPr>
          <w:p>
            <w:r>
              <w:t>Líder: Serviço de Material e Patrimônio (SMP); Coexecutores: Comissão Setorial de Licitação (CSL), Serviço de Controle de Contratos (SCC), Assessoria em TIC da PGAAE / INOVA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E2.O2.KR3</w:t>
            </w:r>
          </w:p>
        </w:tc>
        <w:tc>
          <w:tcPr>
            <w:tcW w:type="dxa" w:w="2160"/>
          </w:tcPr>
          <w:p>
            <w:r>
              <w:t>Implantar sistema de alerta de vencimentos contratuais</w:t>
            </w:r>
          </w:p>
        </w:tc>
        <w:tc>
          <w:tcPr>
            <w:tcW w:type="dxa" w:w="2160"/>
          </w:tcPr>
          <w:p>
            <w:r>
              <w:t>Líder: Unidade Gestora de Atividade Meio; Coexecutores: Procurador-Geral Adjunto; Comissão Setorial de Licitação (CSL); Serviço de Controle de Contratos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E2.O2.KR3</w:t>
            </w:r>
          </w:p>
        </w:tc>
        <w:tc>
          <w:tcPr>
            <w:tcW w:type="dxa" w:w="2160"/>
          </w:tcPr>
          <w:p>
            <w:r>
              <w:t>Vincular renovação contratual ao plano anual de contratações</w:t>
            </w:r>
          </w:p>
        </w:tc>
        <w:tc>
          <w:tcPr>
            <w:tcW w:type="dxa" w:w="2160"/>
          </w:tcPr>
          <w:p>
            <w:r>
              <w:t>Líder: Unidade Gestora de Atividade Meio; Coexecutores: Procurador-Geral Adjunto; Comissão Setorial de Licitação (CSL); Serviço de Controle de Contratos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Comissão Setorial de Licitação (CSL),</w:t>
        <w:br/>
        <w:br/>
        <w:t>No âmbito da consolidação do Planejamento Estratégico 2027–2030 da PGE-MA (Processo SEI: Verificar SEI), e em conformidade com o alinhamento técnico realizado com a unidade (Presidência da CSL), a Assessoria de Planejamento e Gestão Estratégica acosta aos presentes autos a versão consolidada e saneada do Plano de Ação Setorial (Plano_Acao_Pos_Comparacao_CSL.xlsx, contemplando 10 ações estratégicas vinculadas aos resultados-chave E2.O2.KR1, E9.O2.KR1).</w:t>
        <w:br/>
        <w:br/>
        <w:t>Destaques técnicos consolidados: Padronização de artefatos da Lei 14.133/2021, licitações do Profisco III/BID (E3.O1.KR3), compras sustentáveis (E8.O1.KR2) e Painel Compartilhado de Visibilidade Intersetorial (CSL, SCC, SMP e TI).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